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194E" w14:textId="77777777" w:rsidR="00CC769D" w:rsidRDefault="008B787A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13A37B" wp14:editId="7AD12B9C">
                <wp:simplePos x="0" y="0"/>
                <wp:positionH relativeFrom="margin">
                  <wp:posOffset>-105508</wp:posOffset>
                </wp:positionH>
                <wp:positionV relativeFrom="margin">
                  <wp:posOffset>-14411</wp:posOffset>
                </wp:positionV>
                <wp:extent cx="5943600" cy="801858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801858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2" w:type="pct"/>
                              <w:jc w:val="center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8696"/>
                            </w:tblGrid>
                            <w:tr w:rsidR="00CC769D" w:rsidRPr="005349CB" w14:paraId="371E9F73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9FB8CD" w:themeColor="accent2"/>
                                    <w:left w:val="single" w:sz="6" w:space="0" w:color="9FB8CD" w:themeColor="accent2"/>
                                    <w:bottom w:val="single" w:sz="6" w:space="0" w:color="9FB8CD" w:themeColor="accent2"/>
                                    <w:right w:val="single" w:sz="6" w:space="0" w:color="9FB8CD" w:themeColor="accent2"/>
                                  </w:tcBorders>
                                  <w:shd w:val="clear" w:color="auto" w:fill="9FB8CD" w:themeFill="accent2"/>
                                  <w:tcMar>
                                    <w:top w:w="360" w:type="dxa"/>
                                    <w:bottom w:w="360" w:type="dxa"/>
                                  </w:tcMar>
                                </w:tcPr>
                                <w:p w14:paraId="703B0714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FB8CD" w:themeColor="accent2"/>
                                    <w:left w:val="single" w:sz="6" w:space="0" w:color="9FB8CD" w:themeColor="accent2"/>
                                    <w:bottom w:val="single" w:sz="6" w:space="0" w:color="9FB8CD" w:themeColor="accent2"/>
                                    <w:right w:val="single" w:sz="6" w:space="0" w:color="9FB8CD" w:themeColor="accent2"/>
                                  </w:tcBorders>
                                  <w:tcMar>
                                    <w:top w:w="360" w:type="dxa"/>
                                    <w:left w:w="360" w:type="dxa"/>
                                    <w:bottom w:w="360" w:type="dxa"/>
                                    <w:right w:w="360" w:type="dxa"/>
                                  </w:tcMar>
                                </w:tcPr>
                                <w:p w14:paraId="238B6E99" w14:textId="77777777" w:rsidR="00CC769D" w:rsidRPr="005349CB" w:rsidRDefault="005227BD" w:rsidP="00C45322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Theme="majorHAnsi" w:eastAsiaTheme="majorEastAsia" w:hAnsiTheme="majorHAnsi" w:cstheme="majorBidi"/>
                                      <w:color w:val="9FB8CD" w:themeColor="accent2"/>
                                      <w:sz w:val="24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Theme="majorHAnsi" w:eastAsiaTheme="majorEastAsia" w:hAnsiTheme="majorHAnsi" w:cstheme="majorBidi"/>
                                      <w:color w:val="727CA3" w:themeColor="accent1"/>
                                      <w:sz w:val="52"/>
                                      <w:szCs w:val="52"/>
                                      <w:lang w:val="en-CA"/>
                                    </w:rPr>
                                    <w:t xml:space="preserve"> </w:t>
                                  </w:r>
                                  <w:r w:rsidRPr="005349CB">
                                    <w:rPr>
                                      <w:color w:val="9FB8CD" w:themeColor="accent2"/>
                                      <w:spacing w:val="10"/>
                                      <w:sz w:val="52"/>
                                      <w:szCs w:val="52"/>
                                      <w:lang w:val="en-CA"/>
                                    </w:rPr>
                                    <w:sym w:font="Wingdings 3" w:char="F07D"/>
                                  </w: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727CA3" w:themeColor="accent1"/>
                                        <w:sz w:val="40"/>
                                        <w:szCs w:val="40"/>
                                        <w:lang w:val="en-CA"/>
                                      </w:rPr>
                                      <w:alias w:val="Title"/>
                                      <w:id w:val="-353266916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r w:rsidR="00C169C7" w:rsidRPr="005349CB">
                                        <w:rPr>
                                          <w:rFonts w:asciiTheme="majorHAnsi" w:eastAsiaTheme="majorEastAsia" w:hAnsiTheme="majorHAnsi" w:cstheme="majorBidi"/>
                                          <w:color w:val="727CA3" w:themeColor="accent1"/>
                                          <w:sz w:val="40"/>
                                          <w:szCs w:val="40"/>
                                          <w:lang w:val="en-CA"/>
                                        </w:rPr>
                                        <w:t xml:space="preserve">Unifor Multi-Employer </w:t>
                                      </w:r>
                                      <w:r w:rsidR="00B92304" w:rsidRPr="005349CB">
                                        <w:rPr>
                                          <w:rFonts w:asciiTheme="majorHAnsi" w:eastAsiaTheme="majorEastAsia" w:hAnsiTheme="majorHAnsi" w:cstheme="majorBidi"/>
                                          <w:color w:val="727CA3" w:themeColor="accent1"/>
                                          <w:sz w:val="40"/>
                                          <w:szCs w:val="40"/>
                                          <w:lang w:val="en-CA"/>
                                        </w:rPr>
                                        <w:t>P</w:t>
                                      </w:r>
                                      <w:r w:rsidR="00C169C7" w:rsidRPr="005349CB">
                                        <w:rPr>
                                          <w:rFonts w:asciiTheme="majorHAnsi" w:eastAsiaTheme="majorEastAsia" w:hAnsiTheme="majorHAnsi" w:cstheme="majorBidi"/>
                                          <w:color w:val="727CA3" w:themeColor="accent1"/>
                                          <w:sz w:val="40"/>
                                          <w:szCs w:val="40"/>
                                          <w:lang w:val="en-CA"/>
                                        </w:rPr>
                                        <w:t>ension Plan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C769D" w:rsidRPr="005349CB" w14:paraId="7689FD9A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9FB8CD" w:themeColor="accent2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2CD7DDA3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9FB8CD" w:themeColor="accent2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705E8E67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306DE9E2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single" w:sz="6" w:space="0" w:color="AAB0C7" w:themeColor="accent1" w:themeTint="99"/>
                                    <w:bottom w:val="single" w:sz="6" w:space="0" w:color="AAB0C7" w:themeColor="accent1" w:themeTint="99"/>
                                    <w:right w:val="single" w:sz="6" w:space="0" w:color="AAB0C7" w:themeColor="accent1" w:themeTint="99"/>
                                  </w:tcBorders>
                                  <w:shd w:val="clear" w:color="auto" w:fill="AAB0C7" w:themeFill="accent1" w:themeFillTint="99"/>
                                  <w:tcMar>
                                    <w:top w:w="144" w:type="dxa"/>
                                    <w:bottom w:w="144" w:type="dxa"/>
                                  </w:tcMar>
                                </w:tcPr>
                                <w:p w14:paraId="26D2E446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single" w:sz="6" w:space="0" w:color="AAB0C7" w:themeColor="accent1" w:themeTint="99"/>
                                    <w:bottom w:val="single" w:sz="6" w:space="0" w:color="AAB0C7" w:themeColor="accent1" w:themeTint="99"/>
                                    <w:right w:val="single" w:sz="6" w:space="0" w:color="AAB0C7" w:themeColor="accent1" w:themeTint="99"/>
                                  </w:tcBorders>
                                  <w:tcMar>
                                    <w:top w:w="144" w:type="dxa"/>
                                    <w:left w:w="144" w:type="dxa"/>
                                    <w:bottom w:w="144" w:type="dxa"/>
                                    <w:right w:w="144" w:type="dxa"/>
                                  </w:tcMar>
                                </w:tcPr>
                                <w:p w14:paraId="038C177E" w14:textId="1EEBC18E" w:rsidR="00CC769D" w:rsidRPr="005349CB" w:rsidRDefault="00000000" w:rsidP="0072169E">
                                  <w:pPr>
                                    <w:pStyle w:val="NoSpacing"/>
                                    <w:rPr>
                                      <w:color w:val="727CA3" w:themeColor="accent1"/>
                                      <w:lang w:val="en-CA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-BoldMT" w:hAnsi="Arial-BoldMT" w:cs="Arial-BoldMT"/>
                                        <w:b/>
                                        <w:bCs/>
                                        <w:color w:val="808080" w:themeColor="background1" w:themeShade="80"/>
                                        <w:sz w:val="22"/>
                                        <w:szCs w:val="22"/>
                                        <w:lang w:val="en-CA"/>
                                      </w:rPr>
                                      <w:alias w:val="Author"/>
                                      <w:id w:val="-1737927915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Content>
                                      <w:r w:rsidR="00C45322" w:rsidRPr="005349CB">
                                        <w:rPr>
                                          <w:rFonts w:ascii="Arial-BoldMT" w:hAnsi="Arial-BoldMT" w:cs="Arial-BoldMT"/>
                                          <w:b/>
                                          <w:bCs/>
                                          <w:color w:val="808080" w:themeColor="background1" w:themeShade="80"/>
                                          <w:sz w:val="22"/>
                                          <w:szCs w:val="22"/>
                                          <w:lang w:val="en-CA"/>
                                        </w:rPr>
                                        <w:t xml:space="preserve">Unifor MEPP </w:t>
                                      </w:r>
                                      <w:r w:rsidR="0072169E" w:rsidRPr="005349CB">
                                        <w:rPr>
                                          <w:rFonts w:ascii="Arial-BoldMT" w:hAnsi="Arial-BoldMT" w:cs="Arial-BoldMT"/>
                                          <w:b/>
                                          <w:bCs/>
                                          <w:color w:val="808080" w:themeColor="background1" w:themeShade="80"/>
                                          <w:sz w:val="22"/>
                                          <w:szCs w:val="22"/>
                                          <w:lang w:val="en-CA"/>
                                        </w:rPr>
                                        <w:t>Member Update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C769D" w:rsidRPr="005349CB" w14:paraId="2D1FB15E" w14:textId="77777777" w:rsidTr="00525681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03B243EB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8E4466A" w14:textId="77777777" w:rsidR="008B787A" w:rsidRPr="005349CB" w:rsidRDefault="008B787A" w:rsidP="008B7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 w:hanging="720"/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186E4B9E" w14:textId="4FF767DD" w:rsidR="00CC769D" w:rsidRPr="005349CB" w:rsidRDefault="00C45322" w:rsidP="00C453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The </w:t>
                                  </w:r>
                                  <w:r w:rsidR="009415CB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Pl</w:t>
                                  </w:r>
                                  <w:r w:rsidR="000F4086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an Trustees will </w:t>
                                  </w:r>
                                  <w:r w:rsidR="00D44491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continue to provide updates designed to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keep you in touch with the Plan’s service providers, help you stay informed with key developments in the Plan</w:t>
                                  </w:r>
                                  <w:r w:rsidR="00EA233D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, </w:t>
                                  </w:r>
                                  <w:r w:rsidR="00836DB9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ad</w:t>
                                  </w:r>
                                  <w:r w:rsidR="009E30F0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vise of </w:t>
                                  </w:r>
                                  <w:r w:rsidR="00EA233D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important economic changes,</w:t>
                                  </w:r>
                                  <w:r w:rsidR="0032196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as well</w:t>
                                  </w:r>
                                  <w:r w:rsidR="009E30F0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as updates in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the pension industry general</w:t>
                                  </w:r>
                                  <w:r w:rsidR="009E30F0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ly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. </w:t>
                                  </w:r>
                                </w:p>
                                <w:p w14:paraId="5A57B095" w14:textId="77777777" w:rsidR="0081283B" w:rsidRPr="005349CB" w:rsidRDefault="0081283B" w:rsidP="00C453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711E2934" w14:textId="77777777" w:rsidR="00C45322" w:rsidRPr="005349CB" w:rsidRDefault="0081283B" w:rsidP="00C453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b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b/>
                                      <w:color w:val="000000"/>
                                      <w:lang w:val="en-CA"/>
                                    </w:rPr>
                                    <w:t>Background</w:t>
                                  </w:r>
                                </w:p>
                              </w:tc>
                            </w:tr>
                            <w:tr w:rsidR="00CC769D" w:rsidRPr="005349CB" w14:paraId="1003A167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33E43831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554C8FDC" w14:textId="77777777" w:rsidR="00CC769D" w:rsidRPr="005349CB" w:rsidRDefault="00CC769D" w:rsidP="008B7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7537BF83" w14:textId="1B83B1E6" w:rsidR="00525681" w:rsidRPr="005349CB" w:rsidRDefault="00904EFF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The Plan was established in 1967 and operates under the supervision of the Board of Trustees (comprised of an equal number of Union</w:t>
                                  </w:r>
                                  <w:r w:rsidR="00440CF5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-</w:t>
                                  </w:r>
                                  <w:r w:rsidR="008B1D7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appointe</w:t>
                                  </w:r>
                                  <w:r w:rsidR="00440CF5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d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and Employer</w:t>
                                  </w:r>
                                  <w:r w:rsidR="00440CF5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-appointed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Trustees). The Plan provide</w:t>
                                  </w:r>
                                  <w:r w:rsid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s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2F59E9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Plan members with </w:t>
                                  </w:r>
                                  <w:r w:rsid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a predictable, secure,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retirement</w:t>
                                  </w:r>
                                  <w:r w:rsid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income</w:t>
                                  </w:r>
                                  <w:r w:rsidR="00802D6A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. The Plan is funded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by contributions from participating employers, based on each employer’s collective bargaining agreement. The Plan is managed as a Target Benefit plan</w:t>
                                  </w:r>
                                  <w:r w:rsidR="00A60743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.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982166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The Plan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is subject to both provincial and federal </w:t>
                                  </w:r>
                                  <w:r w:rsidR="00840759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regulation</w:t>
                                  </w:r>
                                  <w:r w:rsidR="00982166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, registered in British Columbia under the regul</w:t>
                                  </w:r>
                                  <w:r w:rsidR="008F4952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ation of the </w:t>
                                  </w:r>
                                  <w:r w:rsidR="00D95F1C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</w:t>
                                  </w:r>
                                  <w:r w:rsidR="0071430C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C Financial Services Authority (BCFSA). </w:t>
                                  </w:r>
                                  <w:r w:rsidR="00A60743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I</w:t>
                                  </w:r>
                                  <w:r w:rsidR="00E758C8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 the unlikely event that current benefit levels become unsustainable</w:t>
                                  </w:r>
                                  <w:r w:rsidR="00FF1F61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,</w:t>
                                  </w:r>
                                  <w:r w:rsidR="00E758C8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the Plan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E45EA8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may be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required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to reduce benefits.</w:t>
                                  </w:r>
                                  <w:r w:rsidR="00721565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A60743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(</w:t>
                                  </w:r>
                                  <w:r w:rsidR="00481E40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See information</w:t>
                                  </w:r>
                                  <w:r w:rsidR="00721565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on the current funding of the Plan below.)</w:t>
                                  </w:r>
                                </w:p>
                                <w:p w14:paraId="76BB0790" w14:textId="77777777" w:rsidR="00904EFF" w:rsidRPr="005349CB" w:rsidRDefault="00904EFF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001E0CA3" w14:textId="4159B275" w:rsidR="00727797" w:rsidRPr="005349CB" w:rsidRDefault="00B435AF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U</w:t>
                                  </w:r>
                                  <w:r w:rsidR="00904EF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nlike a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</w:t>
                                  </w:r>
                                  <w:r w:rsidR="00904EF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RRSP, the Plan has the ability to moderate and manage investment volatility over time and pool longevity risk o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 behalf of all Plan</w:t>
                                  </w:r>
                                  <w:r w:rsidR="00904EF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members. 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The Plan also has more stringent restrictions on lump sum withdrawals in comparison to a RRSP. </w:t>
                                  </w:r>
                                </w:p>
                                <w:p w14:paraId="1BD77D4B" w14:textId="77777777" w:rsidR="00727797" w:rsidRPr="005349CB" w:rsidRDefault="00727797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34EE62F1" w14:textId="2E7B9326" w:rsidR="00525681" w:rsidRPr="005349CB" w:rsidRDefault="00904EFF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More detailed information on the Plan can be found in the Plan Booklet</w:t>
                                  </w:r>
                                  <w:r w:rsidR="00E6067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, which is available on this website. </w:t>
                                  </w:r>
                                  <w:r w:rsidR="0052568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If you have any questions or comments for the Board of Trustees, please direct them to the address </w:t>
                                  </w:r>
                                  <w:r w:rsidR="00802D6A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below</w:t>
                                  </w:r>
                                  <w:r w:rsidR="0052568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.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DF5BBE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I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ndividual annual pension sta</w:t>
                                  </w:r>
                                  <w:r w:rsidR="00B92304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tements are mailed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out to all active and retired members by June 30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vertAlign w:val="superscript"/>
                                      <w:lang w:val="en-CA"/>
                                    </w:rPr>
                                    <w:t>th</w:t>
                                  </w:r>
                                  <w:r w:rsidR="0072779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of each year.</w:t>
                                  </w:r>
                                  <w:r w:rsidR="00DF5BBE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Those statements are also available through a link to the Global Benefits </w:t>
                                  </w:r>
                                  <w:r w:rsidR="006256C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site on the Unifor MEPP website (</w:t>
                                  </w:r>
                                  <w:r w:rsidR="002067A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members must apply online to Global to access the personal</w:t>
                                  </w:r>
                                  <w:r w:rsidR="0072598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="002067A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informatio</w:t>
                                  </w:r>
                                  <w:r w:rsidR="00152AA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n).</w:t>
                                  </w:r>
                                </w:p>
                                <w:p w14:paraId="38567E5C" w14:textId="77777777" w:rsidR="00525681" w:rsidRPr="005349CB" w:rsidRDefault="00525681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693A5BD9" w14:textId="77777777" w:rsidR="00525681" w:rsidRPr="005349CB" w:rsidRDefault="00525681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BOARD OF TRUSTEES:</w:t>
                                  </w:r>
                                </w:p>
                                <w:p w14:paraId="7EE27828" w14:textId="77777777" w:rsidR="00525681" w:rsidRPr="005349CB" w:rsidRDefault="00802D6A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Paul McKie        </w:t>
                                  </w:r>
                                  <w:r w:rsidR="00DB2F42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Brian Gibson</w:t>
                                  </w:r>
                                  <w:r w:rsidR="00DB2F42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ab/>
                                    <w:t xml:space="preserve">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Andrea MacBride</w:t>
                                  </w:r>
                                  <w:r w:rsidR="0052568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ab/>
                                  </w:r>
                                  <w:r w:rsidR="0052568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ab/>
                                  </w:r>
                                </w:p>
                                <w:p w14:paraId="51289F0D" w14:textId="366DB6EE" w:rsidR="00525681" w:rsidRPr="005349CB" w:rsidRDefault="00525681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Jeff Mitchell</w:t>
                                  </w:r>
                                  <w:r w:rsidR="001D4A68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      Garry Gunter</w:t>
                                  </w:r>
                                  <w:r w:rsidR="00152AA7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     </w:t>
                                  </w:r>
                                  <w:r w:rsidR="0072598F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Kevin McFarlane</w:t>
                                  </w:r>
                                </w:p>
                                <w:p w14:paraId="1E6A8DC4" w14:textId="77777777" w:rsidR="00802D6A" w:rsidRPr="005349CB" w:rsidRDefault="00802D6A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78CD5C16" w14:textId="61587ABA" w:rsidR="00802D6A" w:rsidRPr="005349CB" w:rsidRDefault="00802D6A" w:rsidP="00802D6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Baartman Melinte Consulting</w:t>
                                  </w:r>
                                </w:p>
                                <w:p w14:paraId="7952A78F" w14:textId="23EA08ED" w:rsidR="00802D6A" w:rsidRPr="005349CB" w:rsidRDefault="00C11D0C" w:rsidP="00802D6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Theme="minorEastAsia" w:hAnsi="Arial" w:cs="Arial"/>
                                      <w:noProof/>
                                      <w:color w:val="auto"/>
                                      <w:lang w:val="en-CA" w:eastAsia="en-CA"/>
                                    </w:rPr>
                                  </w:pPr>
                                  <w:r w:rsidRPr="005349CB">
                                    <w:rPr>
                                      <w:rFonts w:ascii="Arial" w:eastAsiaTheme="minorEastAsia" w:hAnsi="Arial" w:cs="Arial"/>
                                      <w:noProof/>
                                      <w:color w:val="auto"/>
                                      <w:lang w:val="en-CA"/>
                                    </w:rPr>
                                    <w:t>191 The West Mall, Suite 901, Etobicoke, ON, M9C 5K8</w:t>
                                  </w:r>
                                </w:p>
                                <w:p w14:paraId="72F3049E" w14:textId="77777777" w:rsidR="00802D6A" w:rsidRPr="005349CB" w:rsidRDefault="00802D6A" w:rsidP="00802D6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1-800-663-4500 | unifor@globalben.com</w:t>
                                  </w:r>
                                </w:p>
                                <w:p w14:paraId="70052259" w14:textId="77777777" w:rsidR="008B787A" w:rsidRPr="005349CB" w:rsidRDefault="008B787A" w:rsidP="008B7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525681" w:rsidRPr="005349CB" w14:paraId="2560ED37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53A3A3" w14:textId="77777777" w:rsidR="00525681" w:rsidRPr="005349CB" w:rsidRDefault="00525681" w:rsidP="00525681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24D735" w14:textId="0B74AF32" w:rsidR="00525681" w:rsidRPr="005349CB" w:rsidRDefault="00802D6A" w:rsidP="005349C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Service Providers</w:t>
                                  </w:r>
                                </w:p>
                              </w:tc>
                            </w:tr>
                            <w:tr w:rsidR="00525681" w:rsidRPr="005349CB" w14:paraId="2E0A88F0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79231C" w14:textId="77777777" w:rsidR="00525681" w:rsidRPr="005349CB" w:rsidRDefault="00525681" w:rsidP="00525681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227E6B" w14:textId="77777777" w:rsidR="005349CB" w:rsidRDefault="005349CB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025F39C5" w14:textId="55E8B6BF" w:rsidR="00525681" w:rsidRPr="005349CB" w:rsidRDefault="00E44FB3" w:rsidP="005256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B</w:t>
                                  </w:r>
                                  <w:r w:rsidR="00802D6A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enefit</w:t>
                                  </w:r>
                                  <w:r w:rsidR="00C11D0C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s processing,</w:t>
                                  </w:r>
                                  <w:r w:rsidR="00802D6A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payments and </w:t>
                                  </w:r>
                                  <w:r w:rsidR="00C11D0C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member enquiries </w:t>
                                  </w:r>
                                  <w:r w:rsidR="00FF1F61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are</w:t>
                                  </w:r>
                                  <w:r w:rsidR="00FF1F61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 </w:t>
                                  </w: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provided by </w:t>
                                  </w:r>
                                  <w:r w:rsidR="00C11D0C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Global Benefits</w:t>
                                  </w:r>
                                  <w:r w:rsidR="00F329EE"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:</w:t>
                                  </w:r>
                                </w:p>
                                <w:p w14:paraId="010F83E2" w14:textId="6C213601" w:rsidR="00C11D0C" w:rsidRPr="005349CB" w:rsidRDefault="00C11D0C" w:rsidP="00C11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Global Benefits (www.globalben.com)</w:t>
                                  </w:r>
                                </w:p>
                                <w:p w14:paraId="4B433803" w14:textId="77777777" w:rsidR="00C11D0C" w:rsidRPr="005349CB" w:rsidRDefault="00C11D0C" w:rsidP="00C11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eastAsiaTheme="minorEastAsia" w:hAnsi="Arial" w:cs="Arial"/>
                                      <w:noProof/>
                                      <w:color w:val="auto"/>
                                      <w:lang w:val="en-CA" w:eastAsia="en-CA"/>
                                    </w:rPr>
                                  </w:pPr>
                                  <w:r w:rsidRPr="005349CB">
                                    <w:rPr>
                                      <w:rFonts w:ascii="Arial" w:eastAsiaTheme="minorEastAsia" w:hAnsi="Arial" w:cs="Arial"/>
                                      <w:noProof/>
                                      <w:color w:val="auto"/>
                                      <w:lang w:val="en-CA"/>
                                    </w:rPr>
                                    <w:t>191 The West Mall, Suite 901, Etobicoke, ON, M9C 5K8</w:t>
                                  </w:r>
                                </w:p>
                                <w:p w14:paraId="370AA28B" w14:textId="442112A8" w:rsidR="00525681" w:rsidRPr="005349CB" w:rsidRDefault="00C11D0C" w:rsidP="00C11D0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1-800-663-4500 | </w:t>
                                  </w:r>
                                  <w:hyperlink r:id="rId9" w:history="1">
                                    <w:r w:rsidR="005349CB" w:rsidRPr="005349CB">
                                      <w:rPr>
                                        <w:rStyle w:val="Hyperlink"/>
                                        <w:rFonts w:ascii="ArialMT" w:hAnsi="ArialMT" w:cs="ArialMT"/>
                                        <w:lang w:val="en-CA"/>
                                      </w:rPr>
                                      <w:t>unifor@globalben.com</w:t>
                                    </w:r>
                                  </w:hyperlink>
                                </w:p>
                              </w:tc>
                            </w:tr>
                            <w:tr w:rsidR="00CC769D" w:rsidRPr="005349CB" w14:paraId="782996E6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341BE1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3FA7C6" w14:textId="77777777" w:rsidR="005349CB" w:rsidRDefault="005349CB" w:rsidP="005349C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</w:p>
                                <w:p w14:paraId="41FE62F2" w14:textId="4E5886FE" w:rsidR="005349CB" w:rsidRPr="005349CB" w:rsidRDefault="005349CB" w:rsidP="005349C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</w:pPr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 xml:space="preserve">Actuarial and general consulting services are provided by </w:t>
                                  </w:r>
                                  <w:hyperlink r:id="rId10" w:history="1">
                                    <w:r w:rsidRPr="005349CB">
                                      <w:rPr>
                                        <w:rStyle w:val="Hyperlink"/>
                                        <w:rFonts w:ascii="ArialMT" w:hAnsi="ArialMT" w:cs="ArialMT"/>
                                        <w:lang w:val="en-CA"/>
                                      </w:rPr>
                                      <w:t>www.baartmanconsulting.com</w:t>
                                    </w:r>
                                  </w:hyperlink>
                                  <w:r w:rsidRPr="005349CB">
                                    <w:rPr>
                                      <w:rFonts w:ascii="ArialMT" w:hAnsi="ArialMT" w:cs="ArialMT"/>
                                      <w:color w:val="000000"/>
                                      <w:lang w:val="en-CA"/>
                                    </w:rPr>
                                    <w:t>.</w:t>
                                  </w:r>
                                </w:p>
                                <w:p w14:paraId="1B1E6586" w14:textId="77777777" w:rsidR="00CC769D" w:rsidRPr="005349CB" w:rsidRDefault="00CC769D" w:rsidP="00592591">
                                  <w:pPr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6EF719D3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EF1DC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E16BF2" w14:textId="77777777" w:rsidR="00CC769D" w:rsidRPr="005349CB" w:rsidRDefault="00CC769D" w:rsidP="005349C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437CCBCE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A697AF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15DAEE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60DDD4D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A37488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BA3EF4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563D22C" w14:textId="77777777" w:rsidTr="00CA28F3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7CEF9176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0DAC4871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19069CEC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182A187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B7B6CB9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5CBF8D66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2DBED30E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0CB37C98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B08874B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3BA070C3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1512BDD0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EE291C5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13AFA99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2EAC9BD2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492EFAE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44FEFB2C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4F6A134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5566B4CE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1401AB00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1F09C8B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99ADC55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60331AE0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239AEDA0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16BC476A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15036E1E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3FA42215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30D13A14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500C616F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602B472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9B85FBE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5ADE1B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5AB9ECA5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571C5B3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213DC1C9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593FF39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3AD133C0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78BA1A92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169A5C3C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1417ACD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6BB314F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565F4E08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BB6F26C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810C18B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5DDDEB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61B0CE7A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047ED315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107488C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8BD588C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56EE0C64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055E2BA7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0AA15FB4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62FAB325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46B78CC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5251CBC6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BE13DF3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3B129102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34921058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270340CD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42D9B218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279D7158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6289E0B3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AAB0C7" w:themeColor="accent1" w:themeTint="99"/>
                                    <w:left w:val="nil"/>
                                    <w:bottom w:val="dashed" w:sz="6" w:space="0" w:color="C5D4E1" w:themeColor="accent2" w:themeTint="99"/>
                                    <w:right w:val="nil"/>
                                  </w:tcBorders>
                                </w:tcPr>
                                <w:p w14:paraId="5E7E1FF9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  <w:tr w:rsidR="00CC769D" w:rsidRPr="005349CB" w14:paraId="7160A908" w14:textId="77777777" w:rsidTr="00525681">
                              <w:trPr>
                                <w:jc w:val="center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5E12074C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dashed" w:sz="6" w:space="0" w:color="C5D4E1" w:themeColor="accent2" w:themeTint="99"/>
                                    <w:left w:val="nil"/>
                                    <w:bottom w:val="single" w:sz="6" w:space="0" w:color="AAB0C7" w:themeColor="accent1" w:themeTint="99"/>
                                    <w:right w:val="nil"/>
                                  </w:tcBorders>
                                </w:tcPr>
                                <w:p w14:paraId="74AECFA3" w14:textId="77777777" w:rsidR="00CC769D" w:rsidRPr="005349CB" w:rsidRDefault="00CC769D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  <w:lang w:val="en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18BD3" w14:textId="77777777" w:rsidR="00CC769D" w:rsidRPr="005349CB" w:rsidRDefault="00CC769D">
                            <w:pPr>
                              <w:pStyle w:val="NoSpacing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3A37B" id="Rectangle 3" o:spid="_x0000_s1026" style="position:absolute;margin-left:-8.3pt;margin-top:-1.15pt;width:468pt;height:631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" o:allowincell="f" filled="f" stroked="f">
                <o:lock v:ext="edit" aspectratio="t"/>
                <v:textbox>
                  <w:txbxContent>
                    <w:tbl>
                      <w:tblPr>
                        <w:tblW w:w="4992" w:type="pct"/>
                        <w:jc w:val="center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8696"/>
                      </w:tblGrid>
                      <w:tr w:rsidR="00CC769D" w:rsidRPr="005349CB" w14:paraId="371E9F73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9FB8CD" w:themeColor="accent2"/>
                              <w:left w:val="single" w:sz="6" w:space="0" w:color="9FB8CD" w:themeColor="accent2"/>
                              <w:bottom w:val="single" w:sz="6" w:space="0" w:color="9FB8CD" w:themeColor="accent2"/>
                              <w:right w:val="single" w:sz="6" w:space="0" w:color="9FB8CD" w:themeColor="accent2"/>
                            </w:tcBorders>
                            <w:shd w:val="clear" w:color="auto" w:fill="9FB8CD" w:themeFill="accent2"/>
                            <w:tcMar>
                              <w:top w:w="360" w:type="dxa"/>
                              <w:bottom w:w="360" w:type="dxa"/>
                            </w:tcMar>
                          </w:tcPr>
                          <w:p w14:paraId="703B0714" w14:textId="77777777" w:rsidR="00CC769D" w:rsidRPr="005349CB" w:rsidRDefault="00CC769D">
                            <w:pPr>
                              <w:pStyle w:val="NoSpacing"/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FB8CD" w:themeColor="accent2"/>
                              <w:left w:val="single" w:sz="6" w:space="0" w:color="9FB8CD" w:themeColor="accent2"/>
                              <w:bottom w:val="single" w:sz="6" w:space="0" w:color="9FB8CD" w:themeColor="accent2"/>
                              <w:right w:val="single" w:sz="6" w:space="0" w:color="9FB8CD" w:themeColor="accent2"/>
                            </w:tcBorders>
                            <w:tcMar>
                              <w:top w:w="360" w:type="dxa"/>
                              <w:left w:w="360" w:type="dxa"/>
                              <w:bottom w:w="360" w:type="dxa"/>
                              <w:right w:w="360" w:type="dxa"/>
                            </w:tcMar>
                          </w:tcPr>
                          <w:p w14:paraId="238B6E99" w14:textId="77777777" w:rsidR="00CC769D" w:rsidRPr="005349CB" w:rsidRDefault="005227BD" w:rsidP="00C45322">
                            <w:pPr>
                              <w:pStyle w:val="NoSpacing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color w:val="9FB8CD" w:themeColor="accent2"/>
                                <w:sz w:val="24"/>
                                <w:lang w:val="en-CA"/>
                              </w:rPr>
                            </w:pPr>
                            <w:r w:rsidRPr="005349CB">
                              <w:rPr>
                                <w:rFonts w:asciiTheme="majorHAnsi" w:eastAsiaTheme="majorEastAsia" w:hAnsiTheme="majorHAnsi" w:cstheme="majorBidi"/>
                                <w:color w:val="727CA3" w:themeColor="accent1"/>
                                <w:sz w:val="52"/>
                                <w:szCs w:val="52"/>
                                <w:lang w:val="en-CA"/>
                              </w:rPr>
                              <w:t xml:space="preserve"> </w:t>
                            </w:r>
                            <w:r w:rsidRPr="005349CB">
                              <w:rPr>
                                <w:color w:val="9FB8CD" w:themeColor="accent2"/>
                                <w:spacing w:val="10"/>
                                <w:sz w:val="52"/>
                                <w:szCs w:val="52"/>
                                <w:lang w:val="en-CA"/>
                              </w:rPr>
                              <w:sym w:font="Wingdings 3" w:char="F07D"/>
                            </w: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727CA3" w:themeColor="accent1"/>
                                  <w:sz w:val="40"/>
                                  <w:szCs w:val="40"/>
                                  <w:lang w:val="en-CA"/>
                                </w:rPr>
                                <w:alias w:val="Title"/>
                                <w:id w:val="-35326691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="00C169C7" w:rsidRPr="005349CB">
                                  <w:rPr>
                                    <w:rFonts w:asciiTheme="majorHAnsi" w:eastAsiaTheme="majorEastAsia" w:hAnsiTheme="majorHAnsi" w:cstheme="majorBidi"/>
                                    <w:color w:val="727CA3" w:themeColor="accent1"/>
                                    <w:sz w:val="40"/>
                                    <w:szCs w:val="40"/>
                                    <w:lang w:val="en-CA"/>
                                  </w:rPr>
                                  <w:t xml:space="preserve">Unifor Multi-Employer </w:t>
                                </w:r>
                                <w:r w:rsidR="00B92304" w:rsidRPr="005349CB">
                                  <w:rPr>
                                    <w:rFonts w:asciiTheme="majorHAnsi" w:eastAsiaTheme="majorEastAsia" w:hAnsiTheme="majorHAnsi" w:cstheme="majorBidi"/>
                                    <w:color w:val="727CA3" w:themeColor="accent1"/>
                                    <w:sz w:val="40"/>
                                    <w:szCs w:val="40"/>
                                    <w:lang w:val="en-CA"/>
                                  </w:rPr>
                                  <w:t>P</w:t>
                                </w:r>
                                <w:r w:rsidR="00C169C7" w:rsidRPr="005349CB">
                                  <w:rPr>
                                    <w:rFonts w:asciiTheme="majorHAnsi" w:eastAsiaTheme="majorEastAsia" w:hAnsiTheme="majorHAnsi" w:cstheme="majorBidi"/>
                                    <w:color w:val="727CA3" w:themeColor="accent1"/>
                                    <w:sz w:val="40"/>
                                    <w:szCs w:val="40"/>
                                    <w:lang w:val="en-CA"/>
                                  </w:rPr>
                                  <w:t>ension Plan</w:t>
                                </w:r>
                              </w:sdtContent>
                            </w:sdt>
                          </w:p>
                        </w:tc>
                      </w:tr>
                      <w:tr w:rsidR="00CC769D" w:rsidRPr="005349CB" w14:paraId="7689FD9A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9FB8CD" w:themeColor="accent2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2CD7DDA3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9FB8CD" w:themeColor="accent2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705E8E67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306DE9E2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single" w:sz="6" w:space="0" w:color="AAB0C7" w:themeColor="accent1" w:themeTint="99"/>
                              <w:bottom w:val="single" w:sz="6" w:space="0" w:color="AAB0C7" w:themeColor="accent1" w:themeTint="99"/>
                              <w:right w:val="single" w:sz="6" w:space="0" w:color="AAB0C7" w:themeColor="accent1" w:themeTint="99"/>
                            </w:tcBorders>
                            <w:shd w:val="clear" w:color="auto" w:fill="AAB0C7" w:themeFill="accent1" w:themeFillTint="99"/>
                            <w:tcMar>
                              <w:top w:w="144" w:type="dxa"/>
                              <w:bottom w:w="144" w:type="dxa"/>
                            </w:tcMar>
                          </w:tcPr>
                          <w:p w14:paraId="26D2E446" w14:textId="77777777" w:rsidR="00CC769D" w:rsidRPr="005349CB" w:rsidRDefault="00CC769D">
                            <w:pPr>
                              <w:pStyle w:val="NoSpacing"/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single" w:sz="6" w:space="0" w:color="AAB0C7" w:themeColor="accent1" w:themeTint="99"/>
                              <w:bottom w:val="single" w:sz="6" w:space="0" w:color="AAB0C7" w:themeColor="accent1" w:themeTint="99"/>
                              <w:right w:val="single" w:sz="6" w:space="0" w:color="AAB0C7" w:themeColor="accent1" w:themeTint="99"/>
                            </w:tcBorders>
                            <w:tcMar>
                              <w:top w:w="144" w:type="dxa"/>
                              <w:left w:w="144" w:type="dxa"/>
                              <w:bottom w:w="144" w:type="dxa"/>
                              <w:right w:w="144" w:type="dxa"/>
                            </w:tcMar>
                          </w:tcPr>
                          <w:p w14:paraId="038C177E" w14:textId="1EEBC18E" w:rsidR="00CC769D" w:rsidRPr="005349CB" w:rsidRDefault="00000000" w:rsidP="0072169E">
                            <w:pPr>
                              <w:pStyle w:val="NoSpacing"/>
                              <w:rPr>
                                <w:color w:val="727CA3" w:themeColor="accent1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rFonts w:ascii="Arial-BoldMT" w:hAnsi="Arial-BoldMT" w:cs="Arial-BoldMT"/>
                                  <w:b/>
                                  <w:bCs/>
                                  <w:color w:val="808080" w:themeColor="background1" w:themeShade="80"/>
                                  <w:sz w:val="22"/>
                                  <w:szCs w:val="22"/>
                                  <w:lang w:val="en-CA"/>
                                </w:rPr>
                                <w:alias w:val="Author"/>
                                <w:id w:val="-1737927915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r w:rsidR="00C45322" w:rsidRPr="005349CB">
                                  <w:rPr>
                                    <w:rFonts w:ascii="Arial-BoldMT" w:hAnsi="Arial-BoldMT" w:cs="Arial-BoldMT"/>
                                    <w:b/>
                                    <w:bCs/>
                                    <w:color w:val="808080" w:themeColor="background1" w:themeShade="80"/>
                                    <w:sz w:val="22"/>
                                    <w:szCs w:val="22"/>
                                    <w:lang w:val="en-CA"/>
                                  </w:rPr>
                                  <w:t xml:space="preserve">Unifor MEPP </w:t>
                                </w:r>
                                <w:r w:rsidR="0072169E" w:rsidRPr="005349CB">
                                  <w:rPr>
                                    <w:rFonts w:ascii="Arial-BoldMT" w:hAnsi="Arial-BoldMT" w:cs="Arial-BoldMT"/>
                                    <w:b/>
                                    <w:bCs/>
                                    <w:color w:val="808080" w:themeColor="background1" w:themeShade="80"/>
                                    <w:sz w:val="22"/>
                                    <w:szCs w:val="22"/>
                                    <w:lang w:val="en-CA"/>
                                  </w:rPr>
                                  <w:t>Member Update</w:t>
                                </w:r>
                              </w:sdtContent>
                            </w:sdt>
                          </w:p>
                        </w:tc>
                      </w:tr>
                      <w:tr w:rsidR="00CC769D" w:rsidRPr="005349CB" w14:paraId="2D1FB15E" w14:textId="77777777" w:rsidTr="00525681">
                        <w:trPr>
                          <w:trHeight w:val="619"/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03B243EB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8E4466A" w14:textId="77777777" w:rsidR="008B787A" w:rsidRPr="005349CB" w:rsidRDefault="008B787A" w:rsidP="008B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720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</w:p>
                          <w:p w14:paraId="186E4B9E" w14:textId="4FF767DD" w:rsidR="00CC769D" w:rsidRPr="005349CB" w:rsidRDefault="00C45322" w:rsidP="00C453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The </w:t>
                            </w:r>
                            <w:r w:rsidR="009415CB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Pl</w:t>
                            </w:r>
                            <w:r w:rsidR="000F4086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an Trustees will </w:t>
                            </w:r>
                            <w:r w:rsidR="00D44491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continue to provide updates designed to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keep you in touch with the Plan’s service providers, help you stay informed with key developments in the Plan</w:t>
                            </w:r>
                            <w:r w:rsidR="00EA233D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, </w:t>
                            </w:r>
                            <w:r w:rsidR="00836DB9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ad</w:t>
                            </w:r>
                            <w:r w:rsidR="009E30F0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vise of </w:t>
                            </w:r>
                            <w:r w:rsidR="00EA233D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important economic changes,</w:t>
                            </w:r>
                            <w:r w:rsidR="0032196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as well</w:t>
                            </w:r>
                            <w:r w:rsidR="009E30F0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as updates in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the pension industry general</w:t>
                            </w:r>
                            <w:r w:rsidR="009E30F0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ly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. </w:t>
                            </w:r>
                          </w:p>
                          <w:p w14:paraId="5A57B095" w14:textId="77777777" w:rsidR="0081283B" w:rsidRPr="005349CB" w:rsidRDefault="0081283B" w:rsidP="00C453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711E2934" w14:textId="77777777" w:rsidR="00C45322" w:rsidRPr="005349CB" w:rsidRDefault="0081283B" w:rsidP="00C453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b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b/>
                                <w:color w:val="000000"/>
                                <w:lang w:val="en-CA"/>
                              </w:rPr>
                              <w:t>Background</w:t>
                            </w:r>
                          </w:p>
                        </w:tc>
                      </w:tr>
                      <w:tr w:rsidR="00CC769D" w:rsidRPr="005349CB" w14:paraId="1003A167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33E43831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554C8FDC" w14:textId="77777777" w:rsidR="00CC769D" w:rsidRPr="005349CB" w:rsidRDefault="00CC769D" w:rsidP="008B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7537BF83" w14:textId="1B83B1E6" w:rsidR="00525681" w:rsidRPr="005349CB" w:rsidRDefault="00904EFF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The Plan was established in 1967 and operates under the supervision of the Board of Trustees (comprised of an equal number of Union</w:t>
                            </w:r>
                            <w:r w:rsidR="00440CF5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-</w:t>
                            </w:r>
                            <w:r w:rsidR="008B1D7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appointe</w:t>
                            </w:r>
                            <w:r w:rsidR="00440CF5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d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and Employer</w:t>
                            </w:r>
                            <w:r w:rsidR="00440CF5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-appointed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Trustees). The Plan provide</w:t>
                            </w:r>
                            <w:r w:rsid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s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2F59E9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Plan members with </w:t>
                            </w:r>
                            <w:r w:rsid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a predictable, secure,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retirement</w:t>
                            </w:r>
                            <w:r w:rsid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income</w:t>
                            </w:r>
                            <w:r w:rsidR="00802D6A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. The Plan is funded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by contributions from participating employers, based on each employer’s collective bargaining agreement. The Plan is managed as a Target Benefit plan</w:t>
                            </w:r>
                            <w:r w:rsidR="00A60743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.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982166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The Plan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is subject to both provincial and federal </w:t>
                            </w:r>
                            <w:r w:rsidR="00840759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regulation</w:t>
                            </w:r>
                            <w:r w:rsidR="00982166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, registered in British Columbia under the regul</w:t>
                            </w:r>
                            <w:r w:rsidR="008F4952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ation of the </w:t>
                            </w:r>
                            <w:r w:rsidR="00D95F1C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</w:t>
                            </w:r>
                            <w:r w:rsidR="0071430C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C Financial Services Authority (BCFSA). </w:t>
                            </w:r>
                            <w:r w:rsidR="00A60743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I</w:t>
                            </w:r>
                            <w:r w:rsidR="00E758C8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 the unlikely event that current benefit levels become unsustainable</w:t>
                            </w:r>
                            <w:r w:rsidR="00FF1F61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,</w:t>
                            </w:r>
                            <w:r w:rsidR="00E758C8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the Plan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E45EA8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may be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required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to reduce benefits.</w:t>
                            </w:r>
                            <w:r w:rsidR="00721565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A60743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(</w:t>
                            </w:r>
                            <w:r w:rsidR="00481E40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See information</w:t>
                            </w:r>
                            <w:r w:rsidR="00721565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on the current funding of the Plan below.)</w:t>
                            </w:r>
                          </w:p>
                          <w:p w14:paraId="76BB0790" w14:textId="77777777" w:rsidR="00904EFF" w:rsidRPr="005349CB" w:rsidRDefault="00904EFF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001E0CA3" w14:textId="4159B275" w:rsidR="00727797" w:rsidRPr="005349CB" w:rsidRDefault="00B435AF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U</w:t>
                            </w:r>
                            <w:r w:rsidR="00904EF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nlike a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</w:t>
                            </w:r>
                            <w:r w:rsidR="00904EF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RRSP, the Plan has the ability to moderate and manage investment volatility over time and pool longevity risk o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 behalf of all Plan</w:t>
                            </w:r>
                            <w:r w:rsidR="00904EF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members. 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The Plan also has more stringent restrictions on lump sum withdrawals in comparison to a RRSP. </w:t>
                            </w:r>
                          </w:p>
                          <w:p w14:paraId="1BD77D4B" w14:textId="77777777" w:rsidR="00727797" w:rsidRPr="005349CB" w:rsidRDefault="00727797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34EE62F1" w14:textId="2E7B9326" w:rsidR="00525681" w:rsidRPr="005349CB" w:rsidRDefault="00904EFF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More detailed information on the Plan can be found in the Plan Booklet</w:t>
                            </w:r>
                            <w:r w:rsidR="00E6067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, which is available on this website. </w:t>
                            </w:r>
                            <w:r w:rsidR="0052568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If you have any questions or comments for the Board of Trustees, please direct them to the address </w:t>
                            </w:r>
                            <w:r w:rsidR="00802D6A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below</w:t>
                            </w:r>
                            <w:r w:rsidR="0052568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.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DF5BBE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I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ndividual annual pension sta</w:t>
                            </w:r>
                            <w:r w:rsidR="00B92304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tements are mailed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out to all active and retired members by June 30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72779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of each year.</w:t>
                            </w:r>
                            <w:r w:rsidR="00DF5BBE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Those statements are also available through a link to the Global Benefits </w:t>
                            </w:r>
                            <w:r w:rsidR="006256C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site on the Unifor MEPP website (</w:t>
                            </w:r>
                            <w:r w:rsidR="002067A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members must apply online to Global to access the personal</w:t>
                            </w:r>
                            <w:r w:rsidR="0072598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="002067A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informatio</w:t>
                            </w:r>
                            <w:r w:rsidR="00152AA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n).</w:t>
                            </w:r>
                          </w:p>
                          <w:p w14:paraId="38567E5C" w14:textId="77777777" w:rsidR="00525681" w:rsidRPr="005349CB" w:rsidRDefault="00525681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693A5BD9" w14:textId="77777777" w:rsidR="00525681" w:rsidRPr="005349CB" w:rsidRDefault="00525681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BOARD OF TRUSTEES:</w:t>
                            </w:r>
                          </w:p>
                          <w:p w14:paraId="7EE27828" w14:textId="77777777" w:rsidR="00525681" w:rsidRPr="005349CB" w:rsidRDefault="00802D6A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Paul McKie        </w:t>
                            </w:r>
                            <w:r w:rsidR="00DB2F42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Brian Gibson</w:t>
                            </w:r>
                            <w:r w:rsidR="00DB2F42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ab/>
                              <w:t xml:space="preserve">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Andrea MacBride</w:t>
                            </w:r>
                            <w:r w:rsidR="0052568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ab/>
                            </w:r>
                            <w:r w:rsidR="0052568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ab/>
                            </w:r>
                          </w:p>
                          <w:p w14:paraId="51289F0D" w14:textId="366DB6EE" w:rsidR="00525681" w:rsidRPr="005349CB" w:rsidRDefault="00525681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Jeff Mitchell</w:t>
                            </w:r>
                            <w:r w:rsidR="001D4A68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      Garry Gunter</w:t>
                            </w:r>
                            <w:r w:rsidR="00152AA7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     </w:t>
                            </w:r>
                            <w:r w:rsidR="0072598F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Kevin McFarlane</w:t>
                            </w:r>
                          </w:p>
                          <w:p w14:paraId="1E6A8DC4" w14:textId="77777777" w:rsidR="00802D6A" w:rsidRPr="005349CB" w:rsidRDefault="00802D6A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78CD5C16" w14:textId="61587ABA" w:rsidR="00802D6A" w:rsidRPr="005349CB" w:rsidRDefault="00802D6A" w:rsidP="00802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Baartman Melinte Consulting</w:t>
                            </w:r>
                          </w:p>
                          <w:p w14:paraId="7952A78F" w14:textId="23EA08ED" w:rsidR="00802D6A" w:rsidRPr="005349CB" w:rsidRDefault="00C11D0C" w:rsidP="00802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noProof/>
                                <w:color w:val="auto"/>
                                <w:lang w:val="en-CA" w:eastAsia="en-CA"/>
                              </w:rPr>
                            </w:pPr>
                            <w:r w:rsidRPr="005349CB">
                              <w:rPr>
                                <w:rFonts w:ascii="Arial" w:eastAsiaTheme="minorEastAsia" w:hAnsi="Arial" w:cs="Arial"/>
                                <w:noProof/>
                                <w:color w:val="auto"/>
                                <w:lang w:val="en-CA"/>
                              </w:rPr>
                              <w:t>191 The West Mall, Suite 901, Etobicoke, ON, M9C 5K8</w:t>
                            </w:r>
                          </w:p>
                          <w:p w14:paraId="72F3049E" w14:textId="77777777" w:rsidR="00802D6A" w:rsidRPr="005349CB" w:rsidRDefault="00802D6A" w:rsidP="00802D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1-800-663-4500 | unifor@globalben.com</w:t>
                            </w:r>
                          </w:p>
                          <w:p w14:paraId="70052259" w14:textId="77777777" w:rsidR="008B787A" w:rsidRPr="005349CB" w:rsidRDefault="008B787A" w:rsidP="008B78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525681" w:rsidRPr="005349CB" w14:paraId="2560ED37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53A3A3" w14:textId="77777777" w:rsidR="00525681" w:rsidRPr="005349CB" w:rsidRDefault="00525681" w:rsidP="00525681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24D735" w14:textId="0B74AF32" w:rsidR="00525681" w:rsidRPr="005349CB" w:rsidRDefault="00802D6A" w:rsidP="005349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lang w:val="en-CA"/>
                              </w:rPr>
                              <w:t>Service Providers</w:t>
                            </w:r>
                          </w:p>
                        </w:tc>
                      </w:tr>
                      <w:tr w:rsidR="00525681" w:rsidRPr="005349CB" w14:paraId="2E0A88F0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79231C" w14:textId="77777777" w:rsidR="00525681" w:rsidRPr="005349CB" w:rsidRDefault="00525681" w:rsidP="00525681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227E6B" w14:textId="77777777" w:rsidR="005349CB" w:rsidRDefault="005349CB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025F39C5" w14:textId="55E8B6BF" w:rsidR="00525681" w:rsidRPr="005349CB" w:rsidRDefault="00E44FB3" w:rsidP="005256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B</w:t>
                            </w:r>
                            <w:r w:rsidR="00802D6A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enefit</w:t>
                            </w:r>
                            <w:r w:rsidR="00C11D0C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s processing,</w:t>
                            </w:r>
                            <w:r w:rsidR="00802D6A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payments and </w:t>
                            </w:r>
                            <w:r w:rsidR="00C11D0C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member enquiries </w:t>
                            </w:r>
                            <w:r w:rsidR="00FF1F61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are</w:t>
                            </w:r>
                            <w:r w:rsidR="00FF1F61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 </w:t>
                            </w: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provided by </w:t>
                            </w:r>
                            <w:r w:rsidR="00C11D0C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Global Benefits</w:t>
                            </w:r>
                            <w:r w:rsidR="00F329EE"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:</w:t>
                            </w:r>
                          </w:p>
                          <w:p w14:paraId="010F83E2" w14:textId="6C213601" w:rsidR="00C11D0C" w:rsidRPr="005349CB" w:rsidRDefault="00C11D0C" w:rsidP="00C11D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Global Benefits (www.globalben.com)</w:t>
                            </w:r>
                          </w:p>
                          <w:p w14:paraId="4B433803" w14:textId="77777777" w:rsidR="00C11D0C" w:rsidRPr="005349CB" w:rsidRDefault="00C11D0C" w:rsidP="00C11D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noProof/>
                                <w:color w:val="auto"/>
                                <w:lang w:val="en-CA" w:eastAsia="en-CA"/>
                              </w:rPr>
                            </w:pPr>
                            <w:r w:rsidRPr="005349CB">
                              <w:rPr>
                                <w:rFonts w:ascii="Arial" w:eastAsiaTheme="minorEastAsia" w:hAnsi="Arial" w:cs="Arial"/>
                                <w:noProof/>
                                <w:color w:val="auto"/>
                                <w:lang w:val="en-CA"/>
                              </w:rPr>
                              <w:t>191 The West Mall, Suite 901, Etobicoke, ON, M9C 5K8</w:t>
                            </w:r>
                          </w:p>
                          <w:p w14:paraId="370AA28B" w14:textId="442112A8" w:rsidR="00525681" w:rsidRPr="005349CB" w:rsidRDefault="00C11D0C" w:rsidP="00C11D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1-800-663-4500 | </w:t>
                            </w:r>
                            <w:hyperlink r:id="rId11" w:history="1">
                              <w:r w:rsidR="005349CB" w:rsidRPr="005349CB">
                                <w:rPr>
                                  <w:rStyle w:val="Hyperlink"/>
                                  <w:rFonts w:ascii="ArialMT" w:hAnsi="ArialMT" w:cs="ArialMT"/>
                                  <w:lang w:val="en-CA"/>
                                </w:rPr>
                                <w:t>unifor@globalben.com</w:t>
                              </w:r>
                            </w:hyperlink>
                          </w:p>
                        </w:tc>
                      </w:tr>
                      <w:tr w:rsidR="00CC769D" w:rsidRPr="005349CB" w14:paraId="782996E6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341BE1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3FA7C6" w14:textId="77777777" w:rsidR="005349CB" w:rsidRDefault="005349CB" w:rsidP="005349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</w:p>
                          <w:p w14:paraId="41FE62F2" w14:textId="4E5886FE" w:rsidR="005349CB" w:rsidRPr="005349CB" w:rsidRDefault="005349CB" w:rsidP="005349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</w:pPr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 xml:space="preserve">Actuarial and general consulting services are provided by </w:t>
                            </w:r>
                            <w:hyperlink r:id="rId12" w:history="1">
                              <w:r w:rsidRPr="005349CB">
                                <w:rPr>
                                  <w:rStyle w:val="Hyperlink"/>
                                  <w:rFonts w:ascii="ArialMT" w:hAnsi="ArialMT" w:cs="ArialMT"/>
                                  <w:lang w:val="en-CA"/>
                                </w:rPr>
                                <w:t>www.baartmanconsulting.com</w:t>
                              </w:r>
                            </w:hyperlink>
                            <w:r w:rsidRPr="005349CB">
                              <w:rPr>
                                <w:rFonts w:ascii="ArialMT" w:hAnsi="ArialMT" w:cs="ArialMT"/>
                                <w:color w:val="000000"/>
                                <w:lang w:val="en-CA"/>
                              </w:rPr>
                              <w:t>.</w:t>
                            </w:r>
                          </w:p>
                          <w:p w14:paraId="1B1E6586" w14:textId="77777777" w:rsidR="00CC769D" w:rsidRPr="005349CB" w:rsidRDefault="00CC769D" w:rsidP="00592591">
                            <w:pPr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6EF719D3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EF1DC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E16BF2" w14:textId="77777777" w:rsidR="00CC769D" w:rsidRPr="005349CB" w:rsidRDefault="00CC769D" w:rsidP="005349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437CCBCE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A697AF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15DAEE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60DDD4D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A37488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BA3EF4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563D22C" w14:textId="77777777" w:rsidTr="00CA28F3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7CEF9176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0DAC4871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19069CEC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182A187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B7B6CB9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5CBF8D66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2DBED30E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0CB37C98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B08874B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3BA070C3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1512BDD0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EE291C5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13AFA99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2EAC9BD2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492EFAE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44FEFB2C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4F6A134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5566B4CE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1401AB00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1F09C8B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99ADC55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60331AE0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239AEDA0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16BC476A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15036E1E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3FA42215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30D13A14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500C616F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602B472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9B85FBE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5ADE1B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5AB9ECA5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571C5B3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213DC1C9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593FF39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3AD133C0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78BA1A92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169A5C3C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1417ACD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6BB314F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565F4E08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BB6F26C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810C18B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5DDDEB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61B0CE7A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047ED315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107488C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8BD588C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56EE0C64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055E2BA7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0AA15FB4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62FAB325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46B78CC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5251CBC6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BE13DF3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3B129102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34921058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270340CD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42D9B218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279D7158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6289E0B3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AAB0C7" w:themeColor="accent1" w:themeTint="99"/>
                              <w:left w:val="nil"/>
                              <w:bottom w:val="dashed" w:sz="6" w:space="0" w:color="C5D4E1" w:themeColor="accent2" w:themeTint="99"/>
                              <w:right w:val="nil"/>
                            </w:tcBorders>
                          </w:tcPr>
                          <w:p w14:paraId="5E7E1FF9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  <w:tr w:rsidR="00CC769D" w:rsidRPr="005349CB" w14:paraId="7160A908" w14:textId="77777777" w:rsidTr="00525681">
                        <w:trPr>
                          <w:jc w:val="center"/>
                        </w:trPr>
                        <w:tc>
                          <w:tcPr>
                            <w:tcW w:w="360" w:type="dxa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5E12074C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dashed" w:sz="6" w:space="0" w:color="C5D4E1" w:themeColor="accent2" w:themeTint="99"/>
                              <w:left w:val="nil"/>
                              <w:bottom w:val="single" w:sz="6" w:space="0" w:color="AAB0C7" w:themeColor="accent1" w:themeTint="99"/>
                              <w:right w:val="nil"/>
                            </w:tcBorders>
                          </w:tcPr>
                          <w:p w14:paraId="74AECFA3" w14:textId="77777777" w:rsidR="00CC769D" w:rsidRPr="005349CB" w:rsidRDefault="00CC769D">
                            <w:pPr>
                              <w:pStyle w:val="NoSpacing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</w:tc>
                      </w:tr>
                    </w:tbl>
                    <w:p w14:paraId="24418BD3" w14:textId="77777777" w:rsidR="00CC769D" w:rsidRPr="005349CB" w:rsidRDefault="00CC769D">
                      <w:pPr>
                        <w:pStyle w:val="NoSpacing"/>
                        <w:rPr>
                          <w:lang w:val="en-CA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sdt>
        <w:sdtPr>
          <w:id w:val="1793389391"/>
          <w:docPartObj>
            <w:docPartGallery w:val="Cover Pages"/>
            <w:docPartUnique/>
          </w:docPartObj>
        </w:sdtPr>
        <w:sdtContent>
          <w:r w:rsidR="005227BD">
            <w:br w:type="page"/>
          </w:r>
        </w:sdtContent>
      </w:sdt>
    </w:p>
    <w:p w14:paraId="2DA2B26F" w14:textId="77777777" w:rsidR="00CC769D" w:rsidRDefault="00000000">
      <w:pPr>
        <w:pStyle w:val="Title"/>
      </w:pPr>
      <w:sdt>
        <w:sdtPr>
          <w:alias w:val="Title"/>
          <w:tag w:val="Title"/>
          <w:id w:val="259239096"/>
          <w:placeholder>
            <w:docPart w:val="72D071418B0A49428F10CEBFDE99D75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69C7">
            <w:t>Unifor Multi-Employer Pension Plan</w:t>
          </w:r>
        </w:sdtContent>
      </w:sdt>
    </w:p>
    <w:sdt>
      <w:sdtPr>
        <w:rPr>
          <w:color w:val="727CA3" w:themeColor="accent1"/>
        </w:rPr>
        <w:alias w:val="Subtitle"/>
        <w:tag w:val="Subtitle"/>
        <w:id w:val="206753112"/>
        <w:placeholder>
          <w:docPart w:val="0B35C7832DCE4D3FA4D5C0A3EABC73A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55A411C8" w14:textId="21D80A33" w:rsidR="00CC769D" w:rsidRDefault="0072169E">
          <w:pPr>
            <w:pStyle w:val="Subtitle"/>
            <w:rPr>
              <w:color w:val="727CA3" w:themeColor="accent1"/>
            </w:rPr>
          </w:pPr>
          <w:r>
            <w:rPr>
              <w:color w:val="727CA3" w:themeColor="accent1"/>
            </w:rPr>
            <w:t>Member Update</w:t>
          </w:r>
        </w:p>
      </w:sdtContent>
    </w:sdt>
    <w:p w14:paraId="0461FBF5" w14:textId="0186C77B" w:rsidR="00412A10" w:rsidRPr="005227BD" w:rsidRDefault="003050A5" w:rsidP="00412A10">
      <w:pPr>
        <w:pStyle w:val="Heading1"/>
        <w:rPr>
          <w:szCs w:val="20"/>
        </w:rPr>
      </w:pPr>
      <w:r>
        <w:rPr>
          <w:szCs w:val="20"/>
        </w:rPr>
        <w:t>Financial Status</w:t>
      </w:r>
    </w:p>
    <w:p w14:paraId="31B3295C" w14:textId="77777777" w:rsidR="003050A5" w:rsidRPr="003050A5" w:rsidRDefault="003050A5" w:rsidP="00412A10">
      <w:pPr>
        <w:rPr>
          <w:sz w:val="4"/>
          <w:szCs w:val="4"/>
          <w:lang w:val="en-CA"/>
        </w:rPr>
      </w:pPr>
    </w:p>
    <w:p w14:paraId="2FBBF266" w14:textId="07EED5A5" w:rsidR="00660F0A" w:rsidRPr="00696B90" w:rsidRDefault="00A60743" w:rsidP="00412A10">
      <w:pPr>
        <w:rPr>
          <w:lang w:val="en-CA"/>
        </w:rPr>
      </w:pPr>
      <w:r w:rsidRPr="00696B90">
        <w:rPr>
          <w:lang w:val="en-CA"/>
        </w:rPr>
        <w:t>The Plan has successfully weathered turbulent economic times o</w:t>
      </w:r>
      <w:r w:rsidR="00660F0A" w:rsidRPr="00696B90">
        <w:rPr>
          <w:lang w:val="en-CA"/>
        </w:rPr>
        <w:t>ver the last several years,</w:t>
      </w:r>
      <w:r w:rsidRPr="00696B90">
        <w:rPr>
          <w:lang w:val="en-CA"/>
        </w:rPr>
        <w:t xml:space="preserve"> and </w:t>
      </w:r>
      <w:r w:rsidR="0000214A" w:rsidRPr="00696B90">
        <w:rPr>
          <w:lang w:val="en-CA"/>
        </w:rPr>
        <w:t>improved</w:t>
      </w:r>
      <w:r w:rsidRPr="00696B90">
        <w:rPr>
          <w:lang w:val="en-CA"/>
        </w:rPr>
        <w:t xml:space="preserve"> its financial health despite</w:t>
      </w:r>
      <w:r w:rsidR="00660F0A" w:rsidRPr="00696B90">
        <w:rPr>
          <w:lang w:val="en-CA"/>
        </w:rPr>
        <w:t xml:space="preserve"> </w:t>
      </w:r>
      <w:r w:rsidR="00412A10" w:rsidRPr="00696B90">
        <w:rPr>
          <w:lang w:val="en-CA"/>
        </w:rPr>
        <w:t xml:space="preserve">the fallout of </w:t>
      </w:r>
      <w:r w:rsidR="00660F0A" w:rsidRPr="00696B90">
        <w:rPr>
          <w:lang w:val="en-CA"/>
        </w:rPr>
        <w:t>the COVID-19 pandemic</w:t>
      </w:r>
      <w:r w:rsidRPr="00696B90">
        <w:rPr>
          <w:lang w:val="en-CA"/>
        </w:rPr>
        <w:t>,</w:t>
      </w:r>
      <w:r w:rsidR="00660F0A" w:rsidRPr="00696B90">
        <w:rPr>
          <w:lang w:val="en-CA"/>
        </w:rPr>
        <w:t xml:space="preserve"> </w:t>
      </w:r>
      <w:r w:rsidR="00E45EA8">
        <w:rPr>
          <w:lang w:val="en-CA"/>
        </w:rPr>
        <w:t xml:space="preserve">and </w:t>
      </w:r>
      <w:r w:rsidR="00412A10" w:rsidRPr="00696B90">
        <w:rPr>
          <w:lang w:val="en-CA"/>
        </w:rPr>
        <w:t>the Russia – Ukraine war</w:t>
      </w:r>
      <w:r w:rsidR="00E45EA8">
        <w:rPr>
          <w:lang w:val="en-CA"/>
        </w:rPr>
        <w:t xml:space="preserve">. </w:t>
      </w:r>
    </w:p>
    <w:p w14:paraId="4AB4242D" w14:textId="2EFFBAE8" w:rsidR="003050A5" w:rsidRPr="00696B90" w:rsidRDefault="00930547" w:rsidP="00412A10">
      <w:pPr>
        <w:rPr>
          <w:lang w:val="en-CA"/>
        </w:rPr>
      </w:pPr>
      <w:r w:rsidRPr="00696B90">
        <w:rPr>
          <w:lang w:val="en-CA"/>
        </w:rPr>
        <w:t>Because of strong performances from our money managers</w:t>
      </w:r>
      <w:r w:rsidR="00FF1F61">
        <w:rPr>
          <w:lang w:val="en-CA"/>
        </w:rPr>
        <w:t>,</w:t>
      </w:r>
      <w:r w:rsidRPr="00696B90">
        <w:rPr>
          <w:lang w:val="en-CA"/>
        </w:rPr>
        <w:t xml:space="preserve"> the Plan has </w:t>
      </w:r>
      <w:r w:rsidR="0000214A" w:rsidRPr="00696B90">
        <w:rPr>
          <w:lang w:val="en-CA"/>
        </w:rPr>
        <w:t xml:space="preserve">consistently </w:t>
      </w:r>
      <w:r w:rsidR="00FF1F61">
        <w:rPr>
          <w:lang w:val="en-CA"/>
        </w:rPr>
        <w:t xml:space="preserve">yielded </w:t>
      </w:r>
      <w:r w:rsidR="0000214A" w:rsidRPr="00696B90">
        <w:rPr>
          <w:lang w:val="en-CA"/>
        </w:rPr>
        <w:t>positive returns.</w:t>
      </w:r>
      <w:r w:rsidR="00E45EA8">
        <w:rPr>
          <w:lang w:val="en-CA"/>
        </w:rPr>
        <w:t xml:space="preserve"> </w:t>
      </w:r>
      <w:r w:rsidR="00E45EA8">
        <w:t>T</w:t>
      </w:r>
      <w:r w:rsidR="00E45EA8" w:rsidRPr="00E45EA8">
        <w:t xml:space="preserve">he emergence of unforeseen tariffs poses a new challenge, and the Plan's Trustees </w:t>
      </w:r>
      <w:r w:rsidR="00E45EA8">
        <w:t>are</w:t>
      </w:r>
      <w:r w:rsidR="00E45EA8" w:rsidRPr="00E45EA8">
        <w:t xml:space="preserve"> working closely with our investment consultants and money managers to monitor the markets.</w:t>
      </w:r>
    </w:p>
    <w:p w14:paraId="42600BD4" w14:textId="46AB9E50" w:rsidR="00B6355E" w:rsidRPr="00696B90" w:rsidRDefault="00660F0A" w:rsidP="00412A10">
      <w:pPr>
        <w:rPr>
          <w:lang w:val="en-CA"/>
        </w:rPr>
      </w:pPr>
      <w:r w:rsidRPr="00696B90">
        <w:rPr>
          <w:lang w:val="en-CA"/>
        </w:rPr>
        <w:t xml:space="preserve">As of </w:t>
      </w:r>
      <w:r w:rsidR="00D44491">
        <w:rPr>
          <w:lang w:val="en-CA"/>
        </w:rPr>
        <w:t>December 31</w:t>
      </w:r>
      <w:r w:rsidRPr="00696B90">
        <w:rPr>
          <w:lang w:val="en-CA"/>
        </w:rPr>
        <w:t>, 202</w:t>
      </w:r>
      <w:r w:rsidR="0000214A" w:rsidRPr="00696B90">
        <w:rPr>
          <w:lang w:val="en-CA"/>
        </w:rPr>
        <w:t>4</w:t>
      </w:r>
      <w:r w:rsidRPr="00696B90">
        <w:rPr>
          <w:lang w:val="en-CA"/>
        </w:rPr>
        <w:t>, t</w:t>
      </w:r>
      <w:r w:rsidR="00412A10" w:rsidRPr="00696B90">
        <w:rPr>
          <w:lang w:val="en-CA"/>
        </w:rPr>
        <w:t xml:space="preserve">he Plan’s assets </w:t>
      </w:r>
      <w:r w:rsidR="003050A5" w:rsidRPr="00696B90">
        <w:rPr>
          <w:lang w:val="en-CA"/>
        </w:rPr>
        <w:t xml:space="preserve">were roughly </w:t>
      </w:r>
      <w:r w:rsidR="003050A5" w:rsidRPr="00696B90">
        <w:rPr>
          <w:b/>
          <w:bCs/>
          <w:lang w:val="en-CA"/>
        </w:rPr>
        <w:t>$</w:t>
      </w:r>
      <w:r w:rsidR="0000214A" w:rsidRPr="00696B90">
        <w:rPr>
          <w:b/>
          <w:bCs/>
          <w:lang w:val="en-CA"/>
        </w:rPr>
        <w:t>71.</w:t>
      </w:r>
      <w:r w:rsidR="00D44491">
        <w:rPr>
          <w:b/>
          <w:bCs/>
          <w:lang w:val="en-CA"/>
        </w:rPr>
        <w:t>3</w:t>
      </w:r>
      <w:r w:rsidR="00D44491" w:rsidRPr="00696B90">
        <w:rPr>
          <w:b/>
          <w:bCs/>
          <w:lang w:val="en-CA"/>
        </w:rPr>
        <w:t xml:space="preserve"> </w:t>
      </w:r>
      <w:r w:rsidR="0000214A" w:rsidRPr="00696B90">
        <w:rPr>
          <w:b/>
          <w:bCs/>
          <w:lang w:val="en-CA"/>
        </w:rPr>
        <w:t>million</w:t>
      </w:r>
      <w:r w:rsidR="00412A10" w:rsidRPr="00696B90">
        <w:rPr>
          <w:lang w:val="en-CA"/>
        </w:rPr>
        <w:t>.</w:t>
      </w:r>
      <w:r w:rsidR="003050A5" w:rsidRPr="00696B90">
        <w:rPr>
          <w:lang w:val="en-CA"/>
        </w:rPr>
        <w:t xml:space="preserve"> </w:t>
      </w:r>
      <w:r w:rsidR="00412A10" w:rsidRPr="00696B90">
        <w:rPr>
          <w:lang w:val="en-CA"/>
        </w:rPr>
        <w:t>This means that, in comparison to the Plan’s going</w:t>
      </w:r>
      <w:r w:rsidR="0000214A" w:rsidRPr="00696B90">
        <w:rPr>
          <w:lang w:val="en-CA"/>
        </w:rPr>
        <w:t>-</w:t>
      </w:r>
      <w:r w:rsidR="00412A10" w:rsidRPr="00696B90">
        <w:rPr>
          <w:lang w:val="en-CA"/>
        </w:rPr>
        <w:t xml:space="preserve">concern liabilities of roughly </w:t>
      </w:r>
      <w:r w:rsidR="00412A10" w:rsidRPr="00696B90">
        <w:rPr>
          <w:b/>
          <w:bCs/>
          <w:lang w:val="en-CA"/>
        </w:rPr>
        <w:t>$</w:t>
      </w:r>
      <w:r w:rsidR="0000214A" w:rsidRPr="00696B90">
        <w:rPr>
          <w:b/>
          <w:bCs/>
          <w:lang w:val="en-CA"/>
        </w:rPr>
        <w:t>64.</w:t>
      </w:r>
      <w:r w:rsidR="00D44491">
        <w:rPr>
          <w:b/>
          <w:bCs/>
          <w:lang w:val="en-CA"/>
        </w:rPr>
        <w:t>9</w:t>
      </w:r>
      <w:r w:rsidR="00D44491" w:rsidRPr="00696B90">
        <w:rPr>
          <w:b/>
          <w:bCs/>
          <w:lang w:val="en-CA"/>
        </w:rPr>
        <w:t xml:space="preserve"> </w:t>
      </w:r>
      <w:r w:rsidR="0000214A" w:rsidRPr="00696B90">
        <w:rPr>
          <w:b/>
          <w:bCs/>
          <w:lang w:val="en-CA"/>
        </w:rPr>
        <w:t>million</w:t>
      </w:r>
      <w:r w:rsidR="00412A10" w:rsidRPr="00696B90">
        <w:rPr>
          <w:lang w:val="en-CA"/>
        </w:rPr>
        <w:t xml:space="preserve">, the Plan was approximately </w:t>
      </w:r>
      <w:r w:rsidR="00D44491" w:rsidRPr="00696B90">
        <w:rPr>
          <w:b/>
          <w:bCs/>
          <w:u w:val="single"/>
          <w:lang w:val="en-CA"/>
        </w:rPr>
        <w:t>11</w:t>
      </w:r>
      <w:r w:rsidR="00D44491">
        <w:rPr>
          <w:b/>
          <w:bCs/>
          <w:u w:val="single"/>
          <w:lang w:val="en-CA"/>
        </w:rPr>
        <w:t>0</w:t>
      </w:r>
      <w:r w:rsidR="00412A10" w:rsidRPr="00696B90">
        <w:rPr>
          <w:b/>
          <w:bCs/>
          <w:u w:val="single"/>
          <w:lang w:val="en-CA"/>
        </w:rPr>
        <w:t>% funded</w:t>
      </w:r>
      <w:r w:rsidR="0000214A" w:rsidRPr="00696B90">
        <w:rPr>
          <w:lang w:val="en-CA"/>
        </w:rPr>
        <w:t xml:space="preserve">, with a surplus of </w:t>
      </w:r>
      <w:r w:rsidR="0000214A" w:rsidRPr="00696B90">
        <w:rPr>
          <w:b/>
          <w:bCs/>
          <w:lang w:val="en-CA"/>
        </w:rPr>
        <w:t>$</w:t>
      </w:r>
      <w:r w:rsidR="00D44491">
        <w:rPr>
          <w:b/>
          <w:bCs/>
          <w:lang w:val="en-CA"/>
        </w:rPr>
        <w:t>6.3</w:t>
      </w:r>
      <w:r w:rsidR="00D44491" w:rsidRPr="00696B90">
        <w:rPr>
          <w:b/>
          <w:bCs/>
          <w:lang w:val="en-CA"/>
        </w:rPr>
        <w:t xml:space="preserve"> </w:t>
      </w:r>
      <w:r w:rsidR="0000214A" w:rsidRPr="00696B90">
        <w:rPr>
          <w:b/>
          <w:bCs/>
          <w:lang w:val="en-CA"/>
        </w:rPr>
        <w:t>million</w:t>
      </w:r>
      <w:r w:rsidR="00412A10" w:rsidRPr="00696B90">
        <w:rPr>
          <w:lang w:val="en-CA"/>
        </w:rPr>
        <w:t>.</w:t>
      </w:r>
    </w:p>
    <w:p w14:paraId="79B2A5DE" w14:textId="5A4F192F" w:rsidR="00027127" w:rsidRPr="00696B90" w:rsidRDefault="00930547" w:rsidP="005227BD">
      <w:pPr>
        <w:pStyle w:val="Heading1"/>
        <w:rPr>
          <w:szCs w:val="20"/>
          <w:lang w:val="en-CA"/>
        </w:rPr>
      </w:pPr>
      <w:r w:rsidRPr="00696B90">
        <w:rPr>
          <w:szCs w:val="20"/>
          <w:lang w:val="en-CA"/>
        </w:rPr>
        <w:t>Diversity of Investments</w:t>
      </w:r>
    </w:p>
    <w:p w14:paraId="55923E64" w14:textId="77777777" w:rsidR="00E52C9A" w:rsidRPr="00696B90" w:rsidRDefault="00E52C9A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85CC04A" w14:textId="41557577" w:rsidR="00914D4B" w:rsidRPr="00696B90" w:rsidRDefault="0000214A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96B90">
        <w:rPr>
          <w:rFonts w:asciiTheme="minorHAnsi" w:hAnsiTheme="minorHAnsi"/>
          <w:sz w:val="20"/>
          <w:szCs w:val="20"/>
        </w:rPr>
        <w:t>More than five years ago</w:t>
      </w:r>
      <w:r w:rsidR="00FF1F61">
        <w:rPr>
          <w:rFonts w:asciiTheme="minorHAnsi" w:hAnsiTheme="minorHAnsi"/>
          <w:sz w:val="20"/>
          <w:szCs w:val="20"/>
        </w:rPr>
        <w:t>,</w:t>
      </w:r>
      <w:r w:rsidRPr="00696B90">
        <w:rPr>
          <w:rFonts w:asciiTheme="minorHAnsi" w:hAnsiTheme="minorHAnsi"/>
          <w:sz w:val="20"/>
          <w:szCs w:val="20"/>
        </w:rPr>
        <w:t xml:space="preserve"> the Trustees put in place investment practices and policies to protect the Plan from the extreme </w:t>
      </w:r>
      <w:r w:rsidR="00914D4B" w:rsidRPr="00696B90">
        <w:rPr>
          <w:rFonts w:asciiTheme="minorHAnsi" w:hAnsiTheme="minorHAnsi"/>
          <w:sz w:val="20"/>
          <w:szCs w:val="20"/>
        </w:rPr>
        <w:t>volatility of the markets. As long ago as 2016</w:t>
      </w:r>
      <w:r w:rsidR="00FF1F61">
        <w:rPr>
          <w:rFonts w:asciiTheme="minorHAnsi" w:hAnsiTheme="minorHAnsi"/>
          <w:sz w:val="20"/>
          <w:szCs w:val="20"/>
        </w:rPr>
        <w:t>,</w:t>
      </w:r>
      <w:r w:rsidR="00914D4B" w:rsidRPr="00696B90">
        <w:rPr>
          <w:rFonts w:asciiTheme="minorHAnsi" w:hAnsiTheme="minorHAnsi"/>
          <w:sz w:val="20"/>
          <w:szCs w:val="20"/>
        </w:rPr>
        <w:t xml:space="preserve"> the Trustees diversified </w:t>
      </w:r>
      <w:r w:rsidR="00FF1F61">
        <w:rPr>
          <w:rFonts w:asciiTheme="minorHAnsi" w:hAnsiTheme="minorHAnsi"/>
          <w:sz w:val="20"/>
          <w:szCs w:val="20"/>
        </w:rPr>
        <w:t>the Plan’s</w:t>
      </w:r>
      <w:r w:rsidR="00FF1F61" w:rsidRPr="00696B90">
        <w:rPr>
          <w:rFonts w:asciiTheme="minorHAnsi" w:hAnsiTheme="minorHAnsi"/>
          <w:sz w:val="20"/>
          <w:szCs w:val="20"/>
        </w:rPr>
        <w:t xml:space="preserve"> </w:t>
      </w:r>
      <w:r w:rsidR="00914D4B" w:rsidRPr="00696B90">
        <w:rPr>
          <w:rFonts w:asciiTheme="minorHAnsi" w:hAnsiTheme="minorHAnsi"/>
          <w:sz w:val="20"/>
          <w:szCs w:val="20"/>
        </w:rPr>
        <w:t>bond holdings (which experienced extremely low rates of return) and invested some of its fixed assets in real estate.</w:t>
      </w:r>
    </w:p>
    <w:p w14:paraId="4220697B" w14:textId="77777777" w:rsidR="00914D4B" w:rsidRPr="00696B90" w:rsidRDefault="00914D4B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5CF980E7" w14:textId="2A781DAD" w:rsidR="00914D4B" w:rsidRPr="00696B90" w:rsidRDefault="00696B90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After the </w:t>
      </w:r>
      <w:r w:rsidR="00914D4B" w:rsidRPr="00696B90">
        <w:rPr>
          <w:rFonts w:asciiTheme="minorHAnsi" w:hAnsiTheme="minorHAnsi"/>
          <w:sz w:val="20"/>
          <w:szCs w:val="20"/>
        </w:rPr>
        <w:t>success of that investment strategy</w:t>
      </w:r>
      <w:r>
        <w:rPr>
          <w:rFonts w:asciiTheme="minorHAnsi" w:hAnsiTheme="minorHAnsi"/>
          <w:sz w:val="20"/>
          <w:szCs w:val="20"/>
        </w:rPr>
        <w:t xml:space="preserve">, </w:t>
      </w:r>
      <w:r w:rsidR="00914D4B" w:rsidRPr="00696B90">
        <w:rPr>
          <w:rFonts w:asciiTheme="minorHAnsi" w:hAnsiTheme="minorHAnsi"/>
          <w:sz w:val="20"/>
          <w:szCs w:val="20"/>
        </w:rPr>
        <w:t xml:space="preserve">the Trustees </w:t>
      </w:r>
      <w:r>
        <w:rPr>
          <w:rFonts w:asciiTheme="minorHAnsi" w:hAnsiTheme="minorHAnsi"/>
          <w:sz w:val="20"/>
          <w:szCs w:val="20"/>
        </w:rPr>
        <w:t>hired</w:t>
      </w:r>
      <w:r w:rsidR="00914D4B" w:rsidRPr="00696B90">
        <w:rPr>
          <w:rFonts w:asciiTheme="minorHAnsi" w:hAnsiTheme="minorHAnsi"/>
          <w:sz w:val="20"/>
          <w:szCs w:val="20"/>
        </w:rPr>
        <w:t xml:space="preserve"> </w:t>
      </w:r>
      <w:r w:rsidR="00B6355E" w:rsidRPr="00696B90">
        <w:rPr>
          <w:rFonts w:asciiTheme="minorHAnsi" w:hAnsiTheme="minorHAnsi"/>
          <w:sz w:val="20"/>
          <w:szCs w:val="20"/>
        </w:rPr>
        <w:t>the independent firm of George &amp; Bell Consulting (</w:t>
      </w:r>
      <w:hyperlink r:id="rId13" w:history="1">
        <w:r w:rsidR="00B6355E" w:rsidRPr="00696B90">
          <w:rPr>
            <w:rStyle w:val="Hyperlink"/>
            <w:rFonts w:asciiTheme="minorHAnsi" w:hAnsiTheme="minorHAnsi"/>
            <w:sz w:val="20"/>
            <w:szCs w:val="20"/>
          </w:rPr>
          <w:t>www.georgeandbell.com</w:t>
        </w:r>
      </w:hyperlink>
      <w:r w:rsidR="00B6355E" w:rsidRPr="00696B90">
        <w:rPr>
          <w:rFonts w:asciiTheme="minorHAnsi" w:hAnsiTheme="minorHAnsi"/>
          <w:sz w:val="20"/>
          <w:szCs w:val="20"/>
        </w:rPr>
        <w:t xml:space="preserve">) to </w:t>
      </w:r>
      <w:r w:rsidR="00914D4B" w:rsidRPr="00696B90">
        <w:rPr>
          <w:rFonts w:asciiTheme="minorHAnsi" w:hAnsiTheme="minorHAnsi"/>
          <w:sz w:val="20"/>
          <w:szCs w:val="20"/>
        </w:rPr>
        <w:t>monitor</w:t>
      </w:r>
      <w:r w:rsidR="00B6355E" w:rsidRPr="00696B90">
        <w:rPr>
          <w:rFonts w:asciiTheme="minorHAnsi" w:hAnsiTheme="minorHAnsi"/>
          <w:sz w:val="20"/>
          <w:szCs w:val="20"/>
        </w:rPr>
        <w:t xml:space="preserve"> </w:t>
      </w:r>
      <w:r w:rsidR="00914D4B" w:rsidRPr="00696B90">
        <w:rPr>
          <w:rFonts w:asciiTheme="minorHAnsi" w:hAnsiTheme="minorHAnsi"/>
          <w:sz w:val="20"/>
          <w:szCs w:val="20"/>
        </w:rPr>
        <w:t xml:space="preserve">our </w:t>
      </w:r>
      <w:r w:rsidR="00914D4B" w:rsidRPr="00696B90">
        <w:rPr>
          <w:rFonts w:asciiTheme="minorHAnsi" w:hAnsiTheme="minorHAnsi"/>
          <w:sz w:val="20"/>
          <w:szCs w:val="20"/>
        </w:rPr>
        <w:t xml:space="preserve">money managers as well as </w:t>
      </w:r>
      <w:r>
        <w:rPr>
          <w:rFonts w:asciiTheme="minorHAnsi" w:hAnsiTheme="minorHAnsi"/>
          <w:sz w:val="20"/>
          <w:szCs w:val="20"/>
        </w:rPr>
        <w:t xml:space="preserve">to </w:t>
      </w:r>
      <w:r w:rsidR="00914D4B" w:rsidRPr="00696B90">
        <w:rPr>
          <w:rFonts w:asciiTheme="minorHAnsi" w:hAnsiTheme="minorHAnsi"/>
          <w:sz w:val="20"/>
          <w:szCs w:val="20"/>
        </w:rPr>
        <w:t>provid</w:t>
      </w:r>
      <w:r>
        <w:rPr>
          <w:rFonts w:asciiTheme="minorHAnsi" w:hAnsiTheme="minorHAnsi"/>
          <w:sz w:val="20"/>
          <w:szCs w:val="20"/>
        </w:rPr>
        <w:t>e</w:t>
      </w:r>
      <w:r w:rsidR="00914D4B" w:rsidRPr="00696B90">
        <w:rPr>
          <w:rFonts w:asciiTheme="minorHAnsi" w:hAnsiTheme="minorHAnsi"/>
          <w:sz w:val="20"/>
          <w:szCs w:val="20"/>
        </w:rPr>
        <w:t xml:space="preserve"> </w:t>
      </w:r>
      <w:r w:rsidR="00B6355E" w:rsidRPr="00696B90">
        <w:rPr>
          <w:rFonts w:asciiTheme="minorHAnsi" w:hAnsiTheme="minorHAnsi"/>
          <w:sz w:val="20"/>
          <w:szCs w:val="20"/>
        </w:rPr>
        <w:t>other investment</w:t>
      </w:r>
      <w:r>
        <w:rPr>
          <w:rFonts w:asciiTheme="minorHAnsi" w:hAnsiTheme="minorHAnsi"/>
          <w:sz w:val="20"/>
          <w:szCs w:val="20"/>
        </w:rPr>
        <w:t>-</w:t>
      </w:r>
      <w:r w:rsidR="00B6355E" w:rsidRPr="00696B90">
        <w:rPr>
          <w:rFonts w:asciiTheme="minorHAnsi" w:hAnsiTheme="minorHAnsi"/>
          <w:sz w:val="20"/>
          <w:szCs w:val="20"/>
        </w:rPr>
        <w:t>related advice and consulting to the Plan.</w:t>
      </w:r>
    </w:p>
    <w:p w14:paraId="3AC25BC9" w14:textId="77777777" w:rsidR="00914D4B" w:rsidRPr="00696B90" w:rsidRDefault="00914D4B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710A9E0" w14:textId="4071B183" w:rsidR="00683D7F" w:rsidRPr="00696B90" w:rsidRDefault="00914D4B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96B90">
        <w:rPr>
          <w:rFonts w:asciiTheme="minorHAnsi" w:hAnsiTheme="minorHAnsi"/>
          <w:sz w:val="20"/>
          <w:szCs w:val="20"/>
        </w:rPr>
        <w:t>Since then, based on expert advice, the Trustees have</w:t>
      </w:r>
      <w:r w:rsidR="00683D7F" w:rsidRPr="00696B90">
        <w:rPr>
          <w:rFonts w:asciiTheme="minorHAnsi" w:hAnsiTheme="minorHAnsi"/>
          <w:sz w:val="20"/>
          <w:szCs w:val="20"/>
        </w:rPr>
        <w:t xml:space="preserve"> further diversified and invested in private debt and infrastructure. The private debt investments have delivered strong returns since their inception about 18 months ago. The infrastructure money has </w:t>
      </w:r>
      <w:r w:rsidR="00696B90">
        <w:rPr>
          <w:rFonts w:asciiTheme="minorHAnsi" w:hAnsiTheme="minorHAnsi"/>
          <w:sz w:val="20"/>
          <w:szCs w:val="20"/>
        </w:rPr>
        <w:t>recently</w:t>
      </w:r>
      <w:r w:rsidR="00683D7F" w:rsidRPr="00696B90">
        <w:rPr>
          <w:rFonts w:asciiTheme="minorHAnsi" w:hAnsiTheme="minorHAnsi"/>
          <w:sz w:val="20"/>
          <w:szCs w:val="20"/>
        </w:rPr>
        <w:t xml:space="preserve"> been allocated</w:t>
      </w:r>
      <w:r w:rsidR="00FF1F61">
        <w:rPr>
          <w:rFonts w:asciiTheme="minorHAnsi" w:hAnsiTheme="minorHAnsi"/>
          <w:sz w:val="20"/>
          <w:szCs w:val="20"/>
        </w:rPr>
        <w:t>,</w:t>
      </w:r>
      <w:r w:rsidR="00683D7F" w:rsidRPr="00696B90">
        <w:rPr>
          <w:rFonts w:asciiTheme="minorHAnsi" w:hAnsiTheme="minorHAnsi"/>
          <w:sz w:val="20"/>
          <w:szCs w:val="20"/>
        </w:rPr>
        <w:t xml:space="preserve"> and we should start to see returns soon.</w:t>
      </w:r>
    </w:p>
    <w:p w14:paraId="43118D16" w14:textId="77777777" w:rsidR="00683D7F" w:rsidRPr="00696B90" w:rsidRDefault="00683D7F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289688C1" w14:textId="354D7714" w:rsidR="009B670A" w:rsidRPr="00696B90" w:rsidRDefault="00B6355E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696B90">
        <w:rPr>
          <w:rFonts w:asciiTheme="minorHAnsi" w:hAnsiTheme="minorHAnsi"/>
          <w:sz w:val="20"/>
          <w:szCs w:val="20"/>
        </w:rPr>
        <w:t>Th</w:t>
      </w:r>
      <w:r w:rsidR="00683D7F" w:rsidRPr="00696B90">
        <w:rPr>
          <w:rFonts w:asciiTheme="minorHAnsi" w:hAnsiTheme="minorHAnsi"/>
          <w:sz w:val="20"/>
          <w:szCs w:val="20"/>
        </w:rPr>
        <w:t>ese</w:t>
      </w:r>
      <w:r w:rsidRPr="00696B90">
        <w:rPr>
          <w:rFonts w:asciiTheme="minorHAnsi" w:hAnsiTheme="minorHAnsi"/>
          <w:sz w:val="20"/>
          <w:szCs w:val="20"/>
        </w:rPr>
        <w:t xml:space="preserve"> decision</w:t>
      </w:r>
      <w:r w:rsidR="00683D7F" w:rsidRPr="00696B90">
        <w:rPr>
          <w:rFonts w:asciiTheme="minorHAnsi" w:hAnsiTheme="minorHAnsi"/>
          <w:sz w:val="20"/>
          <w:szCs w:val="20"/>
        </w:rPr>
        <w:t>s</w:t>
      </w:r>
      <w:r w:rsidRPr="00696B90">
        <w:rPr>
          <w:rFonts w:asciiTheme="minorHAnsi" w:hAnsiTheme="minorHAnsi"/>
          <w:sz w:val="20"/>
          <w:szCs w:val="20"/>
        </w:rPr>
        <w:t xml:space="preserve"> </w:t>
      </w:r>
      <w:r w:rsidR="00683D7F" w:rsidRPr="00696B90">
        <w:rPr>
          <w:rFonts w:asciiTheme="minorHAnsi" w:hAnsiTheme="minorHAnsi"/>
          <w:sz w:val="20"/>
          <w:szCs w:val="20"/>
        </w:rPr>
        <w:t>provide</w:t>
      </w:r>
      <w:r w:rsidRPr="00696B90">
        <w:rPr>
          <w:rFonts w:asciiTheme="minorHAnsi" w:hAnsiTheme="minorHAnsi"/>
          <w:sz w:val="20"/>
          <w:szCs w:val="20"/>
        </w:rPr>
        <w:t xml:space="preserve"> an additional </w:t>
      </w:r>
      <w:r w:rsidR="00A545E5" w:rsidRPr="00696B90">
        <w:rPr>
          <w:rFonts w:asciiTheme="minorHAnsi" w:hAnsiTheme="minorHAnsi"/>
          <w:sz w:val="20"/>
          <w:szCs w:val="20"/>
        </w:rPr>
        <w:t>layer</w:t>
      </w:r>
      <w:r w:rsidRPr="00696B90">
        <w:rPr>
          <w:rFonts w:asciiTheme="minorHAnsi" w:hAnsiTheme="minorHAnsi"/>
          <w:sz w:val="20"/>
          <w:szCs w:val="20"/>
        </w:rPr>
        <w:t xml:space="preserve"> of governance and expertise to the Trustee</w:t>
      </w:r>
      <w:r w:rsidR="004733D1" w:rsidRPr="00696B90">
        <w:rPr>
          <w:rFonts w:asciiTheme="minorHAnsi" w:hAnsiTheme="minorHAnsi"/>
          <w:sz w:val="20"/>
          <w:szCs w:val="20"/>
        </w:rPr>
        <w:t xml:space="preserve">s’ </w:t>
      </w:r>
      <w:r w:rsidRPr="00696B90">
        <w:rPr>
          <w:rFonts w:asciiTheme="minorHAnsi" w:hAnsiTheme="minorHAnsi"/>
          <w:sz w:val="20"/>
          <w:szCs w:val="20"/>
        </w:rPr>
        <w:t>oversight of the Plan’s assets.</w:t>
      </w:r>
      <w:r w:rsidR="00683D7F" w:rsidRPr="00696B90">
        <w:rPr>
          <w:rFonts w:asciiTheme="minorHAnsi" w:hAnsiTheme="minorHAnsi"/>
          <w:sz w:val="20"/>
          <w:szCs w:val="20"/>
        </w:rPr>
        <w:t xml:space="preserve"> The investment diversity provides </w:t>
      </w:r>
      <w:r w:rsidR="00660F0A" w:rsidRPr="00696B90">
        <w:rPr>
          <w:rFonts w:asciiTheme="minorHAnsi" w:hAnsiTheme="minorHAnsi"/>
          <w:sz w:val="20"/>
          <w:szCs w:val="20"/>
        </w:rPr>
        <w:t>more stability and higher returns</w:t>
      </w:r>
      <w:r w:rsidR="00683D7F" w:rsidRPr="00696B90">
        <w:rPr>
          <w:rFonts w:asciiTheme="minorHAnsi" w:hAnsiTheme="minorHAnsi"/>
          <w:sz w:val="20"/>
          <w:szCs w:val="20"/>
        </w:rPr>
        <w:t xml:space="preserve"> – all for the benefit of your pension.</w:t>
      </w:r>
    </w:p>
    <w:p w14:paraId="2531DB72" w14:textId="77777777" w:rsidR="009B670A" w:rsidRPr="00696B90" w:rsidRDefault="009B670A" w:rsidP="00E52C9A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3BA64ECC" w14:textId="7AC7A4B9" w:rsidR="00412A10" w:rsidRPr="00696B90" w:rsidRDefault="00412A10" w:rsidP="00412A10">
      <w:pPr>
        <w:pStyle w:val="Heading1"/>
        <w:rPr>
          <w:szCs w:val="20"/>
          <w:lang w:val="en-CA"/>
        </w:rPr>
      </w:pPr>
      <w:r w:rsidRPr="00696B90">
        <w:rPr>
          <w:szCs w:val="20"/>
          <w:lang w:val="en-CA"/>
        </w:rPr>
        <w:t>Plan Websites</w:t>
      </w:r>
    </w:p>
    <w:p w14:paraId="7629AA45" w14:textId="77777777" w:rsidR="00412A10" w:rsidRPr="00696B90" w:rsidRDefault="00412A10" w:rsidP="00412A10">
      <w:pPr>
        <w:spacing w:after="0"/>
        <w:rPr>
          <w:rStyle w:val="Heading2Char"/>
          <w:b/>
          <w:lang w:val="en-CA"/>
        </w:rPr>
      </w:pPr>
    </w:p>
    <w:p w14:paraId="2033B759" w14:textId="77777777" w:rsidR="00A545E5" w:rsidRPr="00696B90" w:rsidRDefault="001D2470" w:rsidP="00A545E5">
      <w:pPr>
        <w:spacing w:after="0"/>
        <w:rPr>
          <w:rStyle w:val="Heading2Char"/>
          <w:b/>
          <w:lang w:val="en-CA"/>
        </w:rPr>
      </w:pPr>
      <w:r w:rsidRPr="00696B90">
        <w:rPr>
          <w:rStyle w:val="Heading2Char"/>
          <w:b/>
          <w:lang w:val="en-CA"/>
        </w:rPr>
        <w:t xml:space="preserve">General Unifor MEPP Website </w:t>
      </w:r>
    </w:p>
    <w:p w14:paraId="7B0D9C1B" w14:textId="58D27E60" w:rsidR="004733D1" w:rsidRPr="00696B90" w:rsidRDefault="00B6355E" w:rsidP="00A545E5">
      <w:pPr>
        <w:spacing w:after="0"/>
        <w:rPr>
          <w:lang w:val="en-CA"/>
        </w:rPr>
      </w:pPr>
      <w:hyperlink r:id="rId14" w:history="1">
        <w:r w:rsidRPr="00696B90">
          <w:rPr>
            <w:rStyle w:val="Hyperlink"/>
            <w:lang w:val="en-CA"/>
          </w:rPr>
          <w:t>www.uniformepp.org</w:t>
        </w:r>
      </w:hyperlink>
      <w:r w:rsidRPr="00696B90">
        <w:rPr>
          <w:lang w:val="en-CA"/>
        </w:rPr>
        <w:t xml:space="preserve"> </w:t>
      </w:r>
      <w:r w:rsidR="00A60743" w:rsidRPr="00696B90">
        <w:rPr>
          <w:lang w:val="en-CA"/>
        </w:rPr>
        <w:t>is</w:t>
      </w:r>
      <w:r w:rsidR="004733D1" w:rsidRPr="00696B90">
        <w:rPr>
          <w:lang w:val="en-CA"/>
        </w:rPr>
        <w:t xml:space="preserve"> a resource for members to obtain </w:t>
      </w:r>
      <w:r w:rsidR="00A545E5" w:rsidRPr="00696B90">
        <w:rPr>
          <w:lang w:val="en-CA"/>
        </w:rPr>
        <w:t>up-to-date</w:t>
      </w:r>
      <w:r w:rsidR="004733D1" w:rsidRPr="00696B90">
        <w:rPr>
          <w:lang w:val="en-CA"/>
        </w:rPr>
        <w:t xml:space="preserve"> information about the Plan (including Plan booklets and other related documents). </w:t>
      </w:r>
    </w:p>
    <w:p w14:paraId="542AC2A6" w14:textId="77777777" w:rsidR="00A545E5" w:rsidRPr="00696B90" w:rsidRDefault="00A545E5" w:rsidP="00A545E5">
      <w:pPr>
        <w:spacing w:after="0"/>
        <w:rPr>
          <w:lang w:val="en-CA"/>
        </w:rPr>
      </w:pPr>
    </w:p>
    <w:p w14:paraId="077A4A7A" w14:textId="77777777" w:rsidR="00A545E5" w:rsidRPr="00696B90" w:rsidRDefault="004733D1" w:rsidP="00A545E5">
      <w:pPr>
        <w:spacing w:after="0"/>
        <w:rPr>
          <w:lang w:val="en-CA"/>
        </w:rPr>
      </w:pPr>
      <w:r w:rsidRPr="00696B90">
        <w:rPr>
          <w:rStyle w:val="Heading2Char"/>
          <w:b/>
          <w:lang w:val="en-CA"/>
        </w:rPr>
        <w:t xml:space="preserve">Member-Specific Unifor MEPP Website </w:t>
      </w:r>
      <w:r w:rsidRPr="00696B90">
        <w:rPr>
          <w:lang w:val="en-CA"/>
        </w:rPr>
        <w:t>The Trustees have also partnered with Global Benefit</w:t>
      </w:r>
      <w:r w:rsidR="00A545E5" w:rsidRPr="00696B90">
        <w:rPr>
          <w:lang w:val="en-CA"/>
        </w:rPr>
        <w:t>s</w:t>
      </w:r>
      <w:r w:rsidRPr="00696B90">
        <w:rPr>
          <w:lang w:val="en-CA"/>
        </w:rPr>
        <w:t xml:space="preserve"> to launch a member-specific web page (</w:t>
      </w:r>
      <w:hyperlink r:id="rId15" w:history="1">
        <w:r w:rsidRPr="00696B90">
          <w:rPr>
            <w:rStyle w:val="Hyperlink"/>
            <w:lang w:val="en-CA"/>
          </w:rPr>
          <w:t>www.globalben.com/Account/Login</w:t>
        </w:r>
      </w:hyperlink>
      <w:r w:rsidRPr="00696B90">
        <w:rPr>
          <w:lang w:val="en-CA"/>
        </w:rPr>
        <w:t xml:space="preserve">) </w:t>
      </w:r>
      <w:r w:rsidR="00A545E5" w:rsidRPr="00696B90">
        <w:rPr>
          <w:lang w:val="en-CA"/>
        </w:rPr>
        <w:t>where members can:</w:t>
      </w:r>
    </w:p>
    <w:p w14:paraId="7987DA92" w14:textId="2259FCD8" w:rsidR="00A545E5" w:rsidRPr="00696B90" w:rsidRDefault="004733D1" w:rsidP="00A545E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96B90">
        <w:rPr>
          <w:sz w:val="20"/>
          <w:szCs w:val="20"/>
        </w:rPr>
        <w:t>review and update their own personal pension information</w:t>
      </w:r>
      <w:r w:rsidR="00FF1F61">
        <w:rPr>
          <w:sz w:val="20"/>
          <w:szCs w:val="20"/>
        </w:rPr>
        <w:t>;</w:t>
      </w:r>
    </w:p>
    <w:p w14:paraId="6BD91257" w14:textId="3EFAC834" w:rsidR="00A545E5" w:rsidRPr="00696B90" w:rsidRDefault="00A545E5" w:rsidP="00A545E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96B90">
        <w:rPr>
          <w:sz w:val="20"/>
          <w:szCs w:val="20"/>
        </w:rPr>
        <w:t xml:space="preserve">review and download their </w:t>
      </w:r>
      <w:r w:rsidR="004733D1" w:rsidRPr="00696B90">
        <w:rPr>
          <w:sz w:val="20"/>
          <w:szCs w:val="20"/>
        </w:rPr>
        <w:t>annual statements</w:t>
      </w:r>
      <w:r w:rsidR="00FF1F61">
        <w:rPr>
          <w:sz w:val="20"/>
          <w:szCs w:val="20"/>
        </w:rPr>
        <w:t>;</w:t>
      </w:r>
    </w:p>
    <w:p w14:paraId="01A184D4" w14:textId="4D7189DD" w:rsidR="00A545E5" w:rsidRPr="00696B90" w:rsidRDefault="004733D1" w:rsidP="00A545E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96B90">
        <w:rPr>
          <w:sz w:val="20"/>
          <w:szCs w:val="20"/>
        </w:rPr>
        <w:t>download &amp; upload pension benefit application forms</w:t>
      </w:r>
      <w:r w:rsidR="00FF1F61">
        <w:rPr>
          <w:sz w:val="20"/>
          <w:szCs w:val="20"/>
        </w:rPr>
        <w:t>;</w:t>
      </w:r>
    </w:p>
    <w:p w14:paraId="2C7157D0" w14:textId="77777777" w:rsidR="004733D1" w:rsidRPr="00696B90" w:rsidRDefault="00A545E5" w:rsidP="00A545E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696B90">
        <w:rPr>
          <w:sz w:val="20"/>
          <w:szCs w:val="20"/>
        </w:rPr>
        <w:t>explore</w:t>
      </w:r>
      <w:r w:rsidR="004733D1" w:rsidRPr="00696B90">
        <w:rPr>
          <w:sz w:val="20"/>
          <w:szCs w:val="20"/>
        </w:rPr>
        <w:t xml:space="preserve"> projection</w:t>
      </w:r>
      <w:r w:rsidRPr="00696B90">
        <w:rPr>
          <w:sz w:val="20"/>
          <w:szCs w:val="20"/>
        </w:rPr>
        <w:t>s / scenarios that will</w:t>
      </w:r>
      <w:r w:rsidR="004733D1" w:rsidRPr="00696B90">
        <w:rPr>
          <w:sz w:val="20"/>
          <w:szCs w:val="20"/>
        </w:rPr>
        <w:t xml:space="preserve"> allow them to estimate the</w:t>
      </w:r>
      <w:r w:rsidRPr="00696B90">
        <w:rPr>
          <w:sz w:val="20"/>
          <w:szCs w:val="20"/>
        </w:rPr>
        <w:t>ir</w:t>
      </w:r>
      <w:r w:rsidR="004733D1" w:rsidRPr="00696B90">
        <w:rPr>
          <w:sz w:val="20"/>
          <w:szCs w:val="20"/>
        </w:rPr>
        <w:t xml:space="preserve"> future monthly pension from the Plan. </w:t>
      </w:r>
    </w:p>
    <w:p w14:paraId="65CAD61B" w14:textId="78A1E06C" w:rsidR="00CF6B14" w:rsidRPr="00696B90" w:rsidRDefault="004733D1" w:rsidP="00266DDB">
      <w:pPr>
        <w:rPr>
          <w:lang w:val="en-CA"/>
        </w:rPr>
      </w:pPr>
      <w:r w:rsidRPr="00696B90">
        <w:rPr>
          <w:lang w:val="en-CA"/>
        </w:rPr>
        <w:t xml:space="preserve">In </w:t>
      </w:r>
      <w:r w:rsidR="00A545E5" w:rsidRPr="00696B90">
        <w:rPr>
          <w:lang w:val="en-CA"/>
        </w:rPr>
        <w:t xml:space="preserve">order to access these tools, </w:t>
      </w:r>
      <w:r w:rsidRPr="00696B90">
        <w:rPr>
          <w:lang w:val="en-CA"/>
        </w:rPr>
        <w:t xml:space="preserve">please </w:t>
      </w:r>
      <w:r w:rsidR="00660F0A" w:rsidRPr="00696B90">
        <w:rPr>
          <w:lang w:val="en-CA"/>
        </w:rPr>
        <w:t>visit the Global Benefits website</w:t>
      </w:r>
      <w:r w:rsidR="00A60743" w:rsidRPr="00696B90">
        <w:rPr>
          <w:lang w:val="en-CA"/>
        </w:rPr>
        <w:t xml:space="preserve"> </w:t>
      </w:r>
      <w:r w:rsidR="00660F0A" w:rsidRPr="00696B90">
        <w:rPr>
          <w:lang w:val="en-CA"/>
        </w:rPr>
        <w:t>and register for an account</w:t>
      </w:r>
      <w:r w:rsidR="00412A10" w:rsidRPr="00696B90">
        <w:rPr>
          <w:lang w:val="en-CA"/>
        </w:rPr>
        <w:t>.</w:t>
      </w:r>
      <w:r w:rsidR="00CF6B14" w:rsidRPr="00696B90">
        <w:rPr>
          <w:lang w:val="en-CA"/>
        </w:rPr>
        <w:t xml:space="preserve"> You can also find a link to the member-specific website on </w:t>
      </w:r>
      <w:hyperlink r:id="rId16" w:history="1">
        <w:r w:rsidR="00CF6B14" w:rsidRPr="00696B90">
          <w:rPr>
            <w:rStyle w:val="Hyperlink"/>
            <w:lang w:val="en-CA"/>
          </w:rPr>
          <w:t>www.uniformepp.org</w:t>
        </w:r>
      </w:hyperlink>
      <w:r w:rsidR="00CF6B14" w:rsidRPr="00696B90">
        <w:rPr>
          <w:rStyle w:val="Hyperlink"/>
          <w:lang w:val="en-CA"/>
        </w:rPr>
        <w:t>.</w:t>
      </w:r>
    </w:p>
    <w:p w14:paraId="46123EB8" w14:textId="77777777" w:rsidR="00C11D0C" w:rsidRDefault="00C11D0C" w:rsidP="00266DDB"/>
    <w:sectPr w:rsidR="00C11D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2240" w:h="15840" w:code="1"/>
      <w:pgMar w:top="1440" w:right="1440" w:bottom="1440" w:left="1440" w:header="720" w:footer="720" w:gutter="0"/>
      <w:pgNumType w:start="0"/>
      <w:cols w:num="2"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C24C" w14:textId="77777777" w:rsidR="00907FA1" w:rsidRDefault="00907FA1">
      <w:pPr>
        <w:spacing w:after="0" w:line="240" w:lineRule="auto"/>
      </w:pPr>
      <w:r>
        <w:separator/>
      </w:r>
    </w:p>
  </w:endnote>
  <w:endnote w:type="continuationSeparator" w:id="0">
    <w:p w14:paraId="7C5EE292" w14:textId="77777777" w:rsidR="00907FA1" w:rsidRDefault="0090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8951" w14:textId="77777777" w:rsidR="00CC769D" w:rsidRDefault="005227BD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45E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1EA2" w14:textId="53A3877F" w:rsidR="00C11D0C" w:rsidRDefault="00C11D0C">
    <w:pPr>
      <w:pStyle w:val="Header"/>
      <w:pBdr>
        <w:top w:val="single" w:sz="6" w:space="10" w:color="727CA3" w:themeColor="accent1"/>
      </w:pBdr>
      <w:spacing w:before="240"/>
      <w:jc w:val="center"/>
      <w:rPr>
        <w:color w:val="727CA3" w:themeColor="accent1"/>
      </w:rPr>
    </w:pPr>
    <w:r>
      <w:rPr>
        <w:color w:val="727CA3" w:themeColor="accent1"/>
      </w:rPr>
      <w:t xml:space="preserve">REVISED </w:t>
    </w:r>
    <w:r w:rsidR="00940B71">
      <w:rPr>
        <w:color w:val="727CA3" w:themeColor="accent1"/>
      </w:rPr>
      <w:t>April</w:t>
    </w:r>
    <w:r>
      <w:rPr>
        <w:color w:val="727CA3" w:themeColor="accent1"/>
      </w:rPr>
      <w:t xml:space="preserve"> 202</w:t>
    </w:r>
    <w:r w:rsidR="00940B71">
      <w:rPr>
        <w:color w:val="727CA3" w:themeColor="accent1"/>
      </w:rPr>
      <w:t>5</w:t>
    </w:r>
  </w:p>
  <w:p w14:paraId="00C3FBC0" w14:textId="14995E23" w:rsidR="00CC769D" w:rsidRDefault="00CC769D" w:rsidP="00C11D0C">
    <w:pPr>
      <w:pStyle w:val="FooterRight"/>
      <w:tabs>
        <w:tab w:val="left" w:pos="3804"/>
        <w:tab w:val="right" w:pos="936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ED17" w14:textId="77777777" w:rsidR="00907FA1" w:rsidRDefault="00907FA1">
      <w:pPr>
        <w:spacing w:after="0" w:line="240" w:lineRule="auto"/>
      </w:pPr>
      <w:r>
        <w:separator/>
      </w:r>
    </w:p>
  </w:footnote>
  <w:footnote w:type="continuationSeparator" w:id="0">
    <w:p w14:paraId="2AFCD757" w14:textId="77777777" w:rsidR="00907FA1" w:rsidRDefault="0090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BE2A" w14:textId="77777777" w:rsidR="00CC769D" w:rsidRDefault="005227BD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Title"/>
        <w:id w:val="1680067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169C7">
          <w:t>Unifor Multi-Employer Pension Plan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EB3F" w14:textId="77777777" w:rsidR="00CC769D" w:rsidRDefault="005227BD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Title"/>
        <w:id w:val="-12806369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169C7">
          <w:t>Unifor Multi-Employer Pension 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A393" w14:textId="77777777" w:rsidR="00C13DB7" w:rsidRDefault="00C13DB7" w:rsidP="005C2C54">
    <w:pPr>
      <w:pStyle w:val="Header"/>
      <w:jc w:val="center"/>
    </w:pPr>
    <w:r w:rsidRPr="00C13DB7">
      <w:rPr>
        <w:noProof/>
        <w:lang w:val="en-CA" w:eastAsia="en-CA"/>
      </w:rPr>
      <w:drawing>
        <wp:inline distT="0" distB="0" distL="0" distR="0" wp14:anchorId="4AB4285D" wp14:editId="7C7D5BE3">
          <wp:extent cx="1666875" cy="990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35" cy="99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 w15:restartNumberingAfterBreak="0">
    <w:nsid w:val="341A119C"/>
    <w:multiLevelType w:val="hybridMultilevel"/>
    <w:tmpl w:val="0046ED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E100E"/>
    <w:multiLevelType w:val="hybridMultilevel"/>
    <w:tmpl w:val="537E7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036E0"/>
    <w:multiLevelType w:val="hybridMultilevel"/>
    <w:tmpl w:val="1AA47376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142238">
    <w:abstractNumId w:val="4"/>
  </w:num>
  <w:num w:numId="2" w16cid:durableId="1999309118">
    <w:abstractNumId w:val="4"/>
  </w:num>
  <w:num w:numId="3" w16cid:durableId="203835606">
    <w:abstractNumId w:val="3"/>
  </w:num>
  <w:num w:numId="4" w16cid:durableId="2003510082">
    <w:abstractNumId w:val="3"/>
  </w:num>
  <w:num w:numId="5" w16cid:durableId="802043958">
    <w:abstractNumId w:val="2"/>
  </w:num>
  <w:num w:numId="6" w16cid:durableId="586575812">
    <w:abstractNumId w:val="2"/>
  </w:num>
  <w:num w:numId="7" w16cid:durableId="728185346">
    <w:abstractNumId w:val="1"/>
  </w:num>
  <w:num w:numId="8" w16cid:durableId="576551193">
    <w:abstractNumId w:val="1"/>
  </w:num>
  <w:num w:numId="9" w16cid:durableId="1094714548">
    <w:abstractNumId w:val="0"/>
  </w:num>
  <w:num w:numId="10" w16cid:durableId="1457063423">
    <w:abstractNumId w:val="0"/>
  </w:num>
  <w:num w:numId="11" w16cid:durableId="944581379">
    <w:abstractNumId w:val="4"/>
  </w:num>
  <w:num w:numId="12" w16cid:durableId="847989781">
    <w:abstractNumId w:val="3"/>
  </w:num>
  <w:num w:numId="13" w16cid:durableId="1065226858">
    <w:abstractNumId w:val="2"/>
  </w:num>
  <w:num w:numId="14" w16cid:durableId="1773234326">
    <w:abstractNumId w:val="1"/>
  </w:num>
  <w:num w:numId="15" w16cid:durableId="446850299">
    <w:abstractNumId w:val="0"/>
  </w:num>
  <w:num w:numId="16" w16cid:durableId="128285488">
    <w:abstractNumId w:val="4"/>
  </w:num>
  <w:num w:numId="17" w16cid:durableId="451750525">
    <w:abstractNumId w:val="3"/>
  </w:num>
  <w:num w:numId="18" w16cid:durableId="1613318961">
    <w:abstractNumId w:val="2"/>
  </w:num>
  <w:num w:numId="19" w16cid:durableId="2009866098">
    <w:abstractNumId w:val="1"/>
  </w:num>
  <w:num w:numId="20" w16cid:durableId="766344235">
    <w:abstractNumId w:val="0"/>
  </w:num>
  <w:num w:numId="21" w16cid:durableId="1615089626">
    <w:abstractNumId w:val="5"/>
  </w:num>
  <w:num w:numId="22" w16cid:durableId="77137790">
    <w:abstractNumId w:val="7"/>
  </w:num>
  <w:num w:numId="23" w16cid:durableId="585965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C7"/>
    <w:rsid w:val="0000214A"/>
    <w:rsid w:val="0000343C"/>
    <w:rsid w:val="00012CDC"/>
    <w:rsid w:val="00027127"/>
    <w:rsid w:val="000540A5"/>
    <w:rsid w:val="000A32E1"/>
    <w:rsid w:val="000C3A14"/>
    <w:rsid w:val="000F4086"/>
    <w:rsid w:val="00152AA7"/>
    <w:rsid w:val="0019165E"/>
    <w:rsid w:val="001C3FD9"/>
    <w:rsid w:val="001D2470"/>
    <w:rsid w:val="001D4A68"/>
    <w:rsid w:val="002067A7"/>
    <w:rsid w:val="00210F09"/>
    <w:rsid w:val="00214DCC"/>
    <w:rsid w:val="00266DDB"/>
    <w:rsid w:val="00296A50"/>
    <w:rsid w:val="002C350D"/>
    <w:rsid w:val="002F59E9"/>
    <w:rsid w:val="003050A5"/>
    <w:rsid w:val="0031685D"/>
    <w:rsid w:val="00317262"/>
    <w:rsid w:val="00321961"/>
    <w:rsid w:val="00332097"/>
    <w:rsid w:val="00362108"/>
    <w:rsid w:val="0037762D"/>
    <w:rsid w:val="003B2511"/>
    <w:rsid w:val="003F1E4C"/>
    <w:rsid w:val="00412A10"/>
    <w:rsid w:val="00436708"/>
    <w:rsid w:val="00440CF5"/>
    <w:rsid w:val="00441EE9"/>
    <w:rsid w:val="00456ABA"/>
    <w:rsid w:val="00461909"/>
    <w:rsid w:val="004657E1"/>
    <w:rsid w:val="004733D1"/>
    <w:rsid w:val="00481E40"/>
    <w:rsid w:val="004A432A"/>
    <w:rsid w:val="004F1B9D"/>
    <w:rsid w:val="005227BD"/>
    <w:rsid w:val="00525681"/>
    <w:rsid w:val="005349CB"/>
    <w:rsid w:val="00592591"/>
    <w:rsid w:val="005938B7"/>
    <w:rsid w:val="005C2C54"/>
    <w:rsid w:val="006112BD"/>
    <w:rsid w:val="006256C1"/>
    <w:rsid w:val="00660F0A"/>
    <w:rsid w:val="00683D7F"/>
    <w:rsid w:val="006931E7"/>
    <w:rsid w:val="00696B90"/>
    <w:rsid w:val="006B0182"/>
    <w:rsid w:val="006B4ABE"/>
    <w:rsid w:val="006E0300"/>
    <w:rsid w:val="0070355B"/>
    <w:rsid w:val="0071430C"/>
    <w:rsid w:val="00721565"/>
    <w:rsid w:val="0072169E"/>
    <w:rsid w:val="0072598F"/>
    <w:rsid w:val="00727797"/>
    <w:rsid w:val="007A3324"/>
    <w:rsid w:val="007B4C03"/>
    <w:rsid w:val="007D5579"/>
    <w:rsid w:val="00802D6A"/>
    <w:rsid w:val="0081283B"/>
    <w:rsid w:val="00836DB9"/>
    <w:rsid w:val="00840759"/>
    <w:rsid w:val="00853D16"/>
    <w:rsid w:val="008B1D7F"/>
    <w:rsid w:val="008B787A"/>
    <w:rsid w:val="008F4952"/>
    <w:rsid w:val="00904EFF"/>
    <w:rsid w:val="00907FA1"/>
    <w:rsid w:val="00914D4B"/>
    <w:rsid w:val="00930547"/>
    <w:rsid w:val="00940B71"/>
    <w:rsid w:val="009415CB"/>
    <w:rsid w:val="00982166"/>
    <w:rsid w:val="009A57EF"/>
    <w:rsid w:val="009B670A"/>
    <w:rsid w:val="009E03F4"/>
    <w:rsid w:val="009E30F0"/>
    <w:rsid w:val="00A21500"/>
    <w:rsid w:val="00A27765"/>
    <w:rsid w:val="00A3203D"/>
    <w:rsid w:val="00A545E5"/>
    <w:rsid w:val="00A60743"/>
    <w:rsid w:val="00AA4D52"/>
    <w:rsid w:val="00B435AF"/>
    <w:rsid w:val="00B632F5"/>
    <w:rsid w:val="00B6355E"/>
    <w:rsid w:val="00B92304"/>
    <w:rsid w:val="00BC4A07"/>
    <w:rsid w:val="00BC7E56"/>
    <w:rsid w:val="00BF10B6"/>
    <w:rsid w:val="00C11D0C"/>
    <w:rsid w:val="00C13DB7"/>
    <w:rsid w:val="00C169C7"/>
    <w:rsid w:val="00C36FF4"/>
    <w:rsid w:val="00C446ED"/>
    <w:rsid w:val="00C45322"/>
    <w:rsid w:val="00C8185D"/>
    <w:rsid w:val="00CA28F3"/>
    <w:rsid w:val="00CC769D"/>
    <w:rsid w:val="00CE4303"/>
    <w:rsid w:val="00CF6B14"/>
    <w:rsid w:val="00D10F94"/>
    <w:rsid w:val="00D20EC1"/>
    <w:rsid w:val="00D44491"/>
    <w:rsid w:val="00D57C35"/>
    <w:rsid w:val="00D95F1C"/>
    <w:rsid w:val="00DB2F42"/>
    <w:rsid w:val="00DE18B4"/>
    <w:rsid w:val="00DE764A"/>
    <w:rsid w:val="00DF5BBE"/>
    <w:rsid w:val="00E44FB3"/>
    <w:rsid w:val="00E45EA8"/>
    <w:rsid w:val="00E52C9A"/>
    <w:rsid w:val="00E60677"/>
    <w:rsid w:val="00E758C8"/>
    <w:rsid w:val="00EA233D"/>
    <w:rsid w:val="00ED375D"/>
    <w:rsid w:val="00EF7394"/>
    <w:rsid w:val="00F22E71"/>
    <w:rsid w:val="00F329EE"/>
    <w:rsid w:val="00FA4B46"/>
    <w:rsid w:val="00FF1F61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24C0"/>
  <w15:docId w15:val="{F78CEA19-2210-4EFA-A307-3177B9B5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color w:val="628BAD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color w:val="595959" w:themeColor="text1" w:themeTint="A6"/>
      <w:spacing w:val="5"/>
      <w:sz w:val="20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9FB8CD" w:themeColor="accent2"/>
      <w:sz w:val="5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color w:val="9FB8CD" w:themeColor="accent2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color w:val="9FB8CD" w:themeColor="accent2"/>
      <w:sz w:val="16"/>
      <w:szCs w:val="18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spacing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18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19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20"/>
      </w:numPr>
      <w:spacing w:after="1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7F7F7F" w:themeColor="background1" w:themeShade="7F"/>
      <w:sz w:val="20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FooterLeft">
    <w:name w:val="Footer Left"/>
    <w:basedOn w:val="Normal"/>
    <w:next w:val="Normal"/>
    <w:uiPriority w:val="35"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Footer"/>
    <w:uiPriority w:val="35"/>
    <w:qFormat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Normal"/>
    <w:next w:val="Normal"/>
    <w:uiPriority w:val="39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HeaderLeft">
    <w:name w:val="Header Left"/>
    <w:basedOn w:val="Header"/>
    <w:uiPriority w:val="35"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HeaderRight">
    <w:name w:val="Header Right"/>
    <w:basedOn w:val="Header"/>
    <w:uiPriority w:val="35"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C13DB7"/>
    <w:pPr>
      <w:spacing w:after="160" w:line="259" w:lineRule="auto"/>
      <w:ind w:left="720"/>
      <w:contextualSpacing/>
    </w:pPr>
    <w:rPr>
      <w:color w:val="auto"/>
      <w:sz w:val="22"/>
      <w:szCs w:val="22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5227BD"/>
    <w:rPr>
      <w:color w:val="B292CA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11D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1F61"/>
    <w:pPr>
      <w:spacing w:after="0" w:line="240" w:lineRule="auto"/>
    </w:pPr>
    <w:rPr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orgeandbell.com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baartmanconsulting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niformepp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for@globalben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lobalben.com/Account/Login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baartmanconsulting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unifor@globalben.com" TargetMode="External"/><Relationship Id="rId14" Type="http://schemas.openxmlformats.org/officeDocument/2006/relationships/hyperlink" Target="http://www.uniformepp.or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D071418B0A49428F10CEBFDE99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BED9-96AA-4487-A1D7-F060C346A10E}"/>
      </w:docPartPr>
      <w:docPartBody>
        <w:p w:rsidR="00303658" w:rsidRDefault="00616F11">
          <w:pPr>
            <w:pStyle w:val="72D071418B0A49428F10CEBFDE99D753"/>
          </w:pPr>
          <w:r>
            <w:t>[Document Title]</w:t>
          </w:r>
        </w:p>
      </w:docPartBody>
    </w:docPart>
    <w:docPart>
      <w:docPartPr>
        <w:name w:val="0B35C7832DCE4D3FA4D5C0A3EABC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B5E4-4668-41D7-BFCE-6A701D08C6BC}"/>
      </w:docPartPr>
      <w:docPartBody>
        <w:p w:rsidR="00303658" w:rsidRDefault="00616F11">
          <w:pPr>
            <w:pStyle w:val="0B35C7832DCE4D3FA4D5C0A3EABC73A2"/>
          </w:pPr>
          <w:r>
            <w:rPr>
              <w:color w:val="156082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11"/>
    <w:rsid w:val="000050B9"/>
    <w:rsid w:val="000A32E1"/>
    <w:rsid w:val="002A6A82"/>
    <w:rsid w:val="002C2A9B"/>
    <w:rsid w:val="002F00E6"/>
    <w:rsid w:val="00303658"/>
    <w:rsid w:val="00362108"/>
    <w:rsid w:val="00616F11"/>
    <w:rsid w:val="00AF7A60"/>
    <w:rsid w:val="00D10F94"/>
    <w:rsid w:val="00DA3624"/>
    <w:rsid w:val="00DE18B4"/>
    <w:rsid w:val="00E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11"/>
    <w:pPr>
      <w:pBdr>
        <w:top w:val="single" w:sz="6" w:space="1" w:color="E97132" w:themeColor="accent2"/>
        <w:left w:val="single" w:sz="6" w:space="1" w:color="E97132" w:themeColor="accent2"/>
        <w:bottom w:val="single" w:sz="6" w:space="1" w:color="E97132" w:themeColor="accent2"/>
        <w:right w:val="single" w:sz="6" w:space="1" w:color="E97132" w:themeColor="accent2"/>
      </w:pBdr>
      <w:shd w:val="clear" w:color="auto" w:fill="E97132" w:themeFill="accent2"/>
      <w:spacing w:before="300" w:after="40" w:line="276" w:lineRule="auto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6F11"/>
    <w:pPr>
      <w:pBdr>
        <w:top w:val="single" w:sz="6" w:space="1" w:color="E97132" w:themeColor="accent2"/>
        <w:left w:val="single" w:sz="48" w:space="1" w:color="E97132" w:themeColor="accent2"/>
        <w:bottom w:val="single" w:sz="6" w:space="1" w:color="E97132" w:themeColor="accent2"/>
        <w:right w:val="single" w:sz="6" w:space="1" w:color="E97132" w:themeColor="accent2"/>
      </w:pBdr>
      <w:spacing w:before="240" w:after="80" w:line="276" w:lineRule="auto"/>
      <w:ind w:left="144"/>
      <w:outlineLvl w:val="1"/>
    </w:pPr>
    <w:rPr>
      <w:rFonts w:asciiTheme="majorHAnsi" w:eastAsiaTheme="minorHAnsi" w:hAnsiTheme="majorHAnsi" w:cs="Times New Roman"/>
      <w:color w:val="BF4E14" w:themeColor="accent2" w:themeShade="BF"/>
      <w:spacing w:val="5"/>
      <w:kern w:val="24"/>
      <w:sz w:val="20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F11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 w:line="276" w:lineRule="auto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D071418B0A49428F10CEBFDE99D753">
    <w:name w:val="72D071418B0A49428F10CEBFDE99D753"/>
  </w:style>
  <w:style w:type="paragraph" w:customStyle="1" w:styleId="0B35C7832DCE4D3FA4D5C0A3EABC73A2">
    <w:name w:val="0B35C7832DCE4D3FA4D5C0A3EABC73A2"/>
  </w:style>
  <w:style w:type="character" w:customStyle="1" w:styleId="Heading1Char">
    <w:name w:val="Heading 1 Char"/>
    <w:basedOn w:val="DefaultParagraphFont"/>
    <w:link w:val="Heading1"/>
    <w:uiPriority w:val="9"/>
    <w:rsid w:val="00616F11"/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shd w:val="clear" w:color="auto" w:fill="E97132" w:themeFill="accent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16F11"/>
    <w:rPr>
      <w:rFonts w:asciiTheme="majorHAnsi" w:eastAsiaTheme="minorHAnsi" w:hAnsiTheme="majorHAnsi" w:cs="Times New Roman"/>
      <w:color w:val="BF4E14" w:themeColor="accent2" w:themeShade="BF"/>
      <w:spacing w:val="5"/>
      <w:kern w:val="24"/>
      <w:sz w:val="20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16F11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16F11"/>
    <w:pPr>
      <w:spacing w:after="0" w:line="240" w:lineRule="auto"/>
    </w:pPr>
    <w:rPr>
      <w:rFonts w:asciiTheme="majorHAnsi" w:eastAsiaTheme="minorHAnsi" w:hAnsiTheme="majorHAnsi" w:cs="Times New Roman"/>
      <w:bCs/>
      <w:color w:val="E97132" w:themeColor="accent2"/>
      <w:sz w:val="16"/>
      <w:szCs w:val="18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2023-03-29T00:00:00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E65F9-6D1F-45BE-8AAF-04F59C177571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OriginReport.Dotx</Template>
  <TotalTime>11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 Multi-Employer Pension Plan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 Multi-Employer Pension Plan</dc:title>
  <dc:subject>Member Update</dc:subject>
  <dc:creator>Unifor MEPP Member Update</dc:creator>
  <cp:keywords/>
  <dc:description/>
  <cp:lastModifiedBy>Paul McKie</cp:lastModifiedBy>
  <cp:revision>5</cp:revision>
  <dcterms:created xsi:type="dcterms:W3CDTF">2025-04-02T15:50:00Z</dcterms:created>
  <dcterms:modified xsi:type="dcterms:W3CDTF">2025-04-14T19:55:00Z</dcterms:modified>
</cp:coreProperties>
</file>